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A2F543">
      <w:pPr>
        <w:pStyle w:val="3"/>
        <w:snapToGrid w:val="0"/>
        <w:spacing w:before="0" w:line="360" w:lineRule="auto"/>
        <w:ind w:left="0" w:right="397"/>
        <w:jc w:val="center"/>
        <w:rPr>
          <w:rFonts w:ascii="Times New Roman" w:hAnsi="Times New Roman" w:eastAsia="华文中宋" w:cs="Times New Roman"/>
          <w:sz w:val="36"/>
          <w:szCs w:val="36"/>
          <w:lang w:eastAsia="zh-CN"/>
        </w:rPr>
      </w:pPr>
      <w:r>
        <w:rPr>
          <w:rFonts w:ascii="Times New Roman" w:hAnsi="Times New Roman" w:eastAsia="华文中宋" w:cs="Times New Roman"/>
          <w:sz w:val="36"/>
          <w:szCs w:val="36"/>
          <w:lang w:eastAsia="zh-CN"/>
        </w:rPr>
        <w:t>上海商学院</w:t>
      </w:r>
      <w:r>
        <w:rPr>
          <w:rFonts w:hint="eastAsia" w:ascii="Times New Roman" w:hAnsi="Times New Roman" w:eastAsia="华文中宋" w:cs="Times New Roman"/>
          <w:sz w:val="36"/>
          <w:szCs w:val="36"/>
          <w:lang w:eastAsia="zh-CN"/>
        </w:rPr>
        <w:t>商务经济</w:t>
      </w:r>
      <w:r>
        <w:rPr>
          <w:rFonts w:ascii="Times New Roman" w:hAnsi="Times New Roman" w:eastAsia="华文中宋" w:cs="Times New Roman"/>
          <w:sz w:val="36"/>
          <w:szCs w:val="36"/>
          <w:lang w:eastAsia="zh-CN"/>
        </w:rPr>
        <w:t>学院202</w:t>
      </w:r>
      <w:r>
        <w:rPr>
          <w:rFonts w:hint="eastAsia" w:ascii="Times New Roman" w:hAnsi="Times New Roman" w:eastAsia="华文中宋" w:cs="Times New Roman"/>
          <w:sz w:val="36"/>
          <w:szCs w:val="36"/>
          <w:lang w:val="en-US" w:eastAsia="zh-CN"/>
        </w:rPr>
        <w:t>6</w:t>
      </w:r>
      <w:r>
        <w:rPr>
          <w:rFonts w:ascii="Times New Roman" w:hAnsi="Times New Roman" w:eastAsia="华文中宋" w:cs="Times New Roman"/>
          <w:sz w:val="36"/>
          <w:szCs w:val="36"/>
          <w:lang w:eastAsia="zh-CN"/>
        </w:rPr>
        <w:t>年硕士研究生招生调剂实施细则</w:t>
      </w:r>
    </w:p>
    <w:p w14:paraId="4FEDF15E">
      <w:pPr>
        <w:widowControl/>
        <w:snapToGrid w:val="0"/>
        <w:spacing w:line="360" w:lineRule="auto"/>
        <w:ind w:firstLine="645"/>
        <w:rPr>
          <w:rFonts w:ascii="Times New Roman" w:hAnsi="Times New Roman" w:eastAsia="黑体" w:cs="Times New Roman"/>
          <w:kern w:val="0"/>
          <w:sz w:val="32"/>
          <w:szCs w:val="32"/>
          <w:highlight w:val="none"/>
        </w:rPr>
      </w:pPr>
      <w:r>
        <w:rPr>
          <w:rFonts w:ascii="Times New Roman" w:hAnsi="Times New Roman" w:eastAsia="仿宋_GB2312" w:cs="Times New Roman"/>
          <w:color w:val="000000" w:themeColor="text1"/>
          <w:sz w:val="32"/>
          <w:szCs w:val="32"/>
          <w14:textFill>
            <w14:solidFill>
              <w14:schemeClr w14:val="tx1"/>
            </w14:solidFill>
          </w14:textFill>
        </w:rPr>
        <w:t>根据</w:t>
      </w:r>
      <w:r>
        <w:rPr>
          <w:rFonts w:hint="eastAsia" w:ascii="Times New Roman" w:hAnsi="Times New Roman" w:eastAsia="仿宋_GB2312" w:cs="Times New Roman"/>
          <w:color w:val="000000" w:themeColor="text1"/>
          <w:sz w:val="32"/>
          <w:szCs w:val="32"/>
          <w14:textFill>
            <w14:solidFill>
              <w14:schemeClr w14:val="tx1"/>
            </w14:solidFill>
          </w14:textFill>
        </w:rPr>
        <w:t>教育部</w:t>
      </w:r>
      <w:r>
        <w:rPr>
          <w:rFonts w:ascii="Times New Roman" w:hAnsi="Times New Roman" w:eastAsia="仿宋_GB2312"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themeColor="text1"/>
          <w:sz w:val="32"/>
          <w:szCs w:val="32"/>
          <w14:textFill>
            <w14:solidFill>
              <w14:schemeClr w14:val="tx1"/>
            </w14:solidFill>
          </w14:textFill>
        </w:rPr>
        <w:t>202</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6</w:t>
      </w:r>
      <w:r>
        <w:rPr>
          <w:rFonts w:ascii="Times New Roman" w:hAnsi="Times New Roman" w:eastAsia="仿宋_GB2312" w:cs="Times New Roman"/>
          <w:color w:val="000000" w:themeColor="text1"/>
          <w:sz w:val="32"/>
          <w:szCs w:val="32"/>
          <w14:textFill>
            <w14:solidFill>
              <w14:schemeClr w14:val="tx1"/>
            </w14:solidFill>
          </w14:textFill>
        </w:rPr>
        <w:t>年全国硕士研究生招生工作管理规定》</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14:textFill>
            <w14:solidFill>
              <w14:schemeClr w14:val="tx1"/>
            </w14:solidFill>
          </w14:textFill>
        </w:rPr>
        <w:t>《关于做好202</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6</w:t>
      </w:r>
      <w:r>
        <w:rPr>
          <w:rFonts w:hint="eastAsia" w:ascii="Times New Roman" w:hAnsi="Times New Roman" w:eastAsia="仿宋_GB2312" w:cs="Times New Roman"/>
          <w:color w:val="000000" w:themeColor="text1"/>
          <w:sz w:val="32"/>
          <w:szCs w:val="32"/>
          <w14:textFill>
            <w14:solidFill>
              <w14:schemeClr w14:val="tx1"/>
            </w14:solidFill>
          </w14:textFill>
        </w:rPr>
        <w:t>年全国硕士研</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究生招生复试录取工作的通知》、上海市教育考试院</w:t>
      </w:r>
      <w:r>
        <w:rPr>
          <w:rFonts w:ascii="Times New Roman" w:hAnsi="Times New Roman" w:eastAsia="仿宋_GB2312" w:cs="Times New Roman"/>
          <w:color w:val="000000" w:themeColor="text1"/>
          <w:sz w:val="32"/>
          <w:szCs w:val="32"/>
          <w:highlight w:val="none"/>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上海市202</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6</w:t>
      </w:r>
      <w:r>
        <w:rPr>
          <w:rFonts w:ascii="Times New Roman" w:hAnsi="Times New Roman" w:eastAsia="仿宋_GB2312" w:cs="Times New Roman"/>
          <w:color w:val="000000" w:themeColor="text1"/>
          <w:sz w:val="32"/>
          <w:szCs w:val="32"/>
          <w:highlight w:val="none"/>
          <w14:textFill>
            <w14:solidFill>
              <w14:schemeClr w14:val="tx1"/>
            </w14:solidFill>
          </w14:textFill>
        </w:rPr>
        <w:t>年硕士研究生复试</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录取</w:t>
      </w:r>
      <w:r>
        <w:rPr>
          <w:rFonts w:ascii="Times New Roman" w:hAnsi="Times New Roman" w:eastAsia="仿宋_GB2312" w:cs="Times New Roman"/>
          <w:color w:val="000000" w:themeColor="text1"/>
          <w:sz w:val="32"/>
          <w:szCs w:val="32"/>
          <w:highlight w:val="none"/>
          <w14:textFill>
            <w14:solidFill>
              <w14:schemeClr w14:val="tx1"/>
            </w14:solidFill>
          </w14:textFill>
        </w:rPr>
        <w:t>工作</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指导意见</w:t>
      </w:r>
      <w:r>
        <w:rPr>
          <w:rFonts w:ascii="Times New Roman" w:hAnsi="Times New Roman" w:eastAsia="仿宋_GB2312" w:cs="Times New Roman"/>
          <w:color w:val="000000" w:themeColor="text1"/>
          <w:sz w:val="32"/>
          <w:szCs w:val="32"/>
          <w:highlight w:val="none"/>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等文件和</w:t>
      </w:r>
      <w:r>
        <w:rPr>
          <w:rFonts w:ascii="Times New Roman" w:hAnsi="Times New Roman" w:eastAsia="仿宋_GB2312" w:cs="Times New Roman"/>
          <w:color w:val="000000" w:themeColor="text1"/>
          <w:sz w:val="32"/>
          <w:szCs w:val="32"/>
          <w:highlight w:val="none"/>
          <w14:textFill>
            <w14:solidFill>
              <w14:schemeClr w14:val="tx1"/>
            </w14:solidFill>
          </w14:textFill>
        </w:rPr>
        <w:t>《上海商学院硕士研究生招生工作管理办法》</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ascii="Times New Roman" w:hAnsi="Times New Roman" w:eastAsia="仿宋_GB2312" w:cs="Times New Roman"/>
          <w:color w:val="000000" w:themeColor="text1"/>
          <w:sz w:val="32"/>
          <w:szCs w:val="32"/>
          <w:highlight w:val="none"/>
          <w14:textFill>
            <w14:solidFill>
              <w14:schemeClr w14:val="tx1"/>
            </w14:solidFill>
          </w14:textFill>
        </w:rPr>
        <w:t>《上海商学院</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202</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6</w:t>
      </w:r>
      <w:r>
        <w:rPr>
          <w:rFonts w:ascii="Times New Roman" w:hAnsi="Times New Roman" w:eastAsia="仿宋_GB2312" w:cs="Times New Roman"/>
          <w:color w:val="000000" w:themeColor="text1"/>
          <w:sz w:val="32"/>
          <w:szCs w:val="32"/>
          <w:highlight w:val="none"/>
          <w14:textFill>
            <w14:solidFill>
              <w14:schemeClr w14:val="tx1"/>
            </w14:solidFill>
          </w14:textFill>
        </w:rPr>
        <w:t>年硕士研究生招生</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复试实施方案》</w:t>
      </w:r>
      <w:bookmarkStart w:id="0" w:name="_Toc191646840"/>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《上海商学院202</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6</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年硕士研究生调剂办法</w:t>
      </w:r>
      <w:bookmarkEnd w:id="0"/>
      <w:r>
        <w:rPr>
          <w:rFonts w:hint="eastAsia" w:ascii="Times New Roman" w:hAnsi="Times New Roman" w:eastAsia="仿宋_GB2312" w:cs="Times New Roman"/>
          <w:color w:val="000000" w:themeColor="text1"/>
          <w:sz w:val="32"/>
          <w:szCs w:val="32"/>
          <w:highlight w:val="none"/>
          <w14:textFill>
            <w14:solidFill>
              <w14:schemeClr w14:val="tx1"/>
            </w14:solidFill>
          </w14:textFill>
        </w:rPr>
        <w:t>》以及《上海商学院商务经济学院202</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6</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年硕士研究生招生复试实施细则》等规定，特制定本细则。</w:t>
      </w:r>
    </w:p>
    <w:p w14:paraId="34613800">
      <w:pPr>
        <w:widowControl/>
        <w:snapToGrid w:val="0"/>
        <w:spacing w:line="360" w:lineRule="auto"/>
        <w:ind w:firstLine="645"/>
        <w:rPr>
          <w:rFonts w:ascii="Times New Roman" w:hAnsi="Times New Roman" w:eastAsia="黑体" w:cs="Times New Roman"/>
          <w:kern w:val="0"/>
          <w:sz w:val="32"/>
          <w:szCs w:val="32"/>
          <w:highlight w:val="none"/>
        </w:rPr>
      </w:pPr>
      <w:r>
        <w:rPr>
          <w:rFonts w:ascii="Times New Roman" w:hAnsi="Times New Roman" w:eastAsia="黑体" w:cs="Times New Roman"/>
          <w:kern w:val="0"/>
          <w:sz w:val="32"/>
          <w:szCs w:val="32"/>
          <w:highlight w:val="none"/>
        </w:rPr>
        <w:t>一、指导思想</w:t>
      </w:r>
    </w:p>
    <w:p w14:paraId="04E42788">
      <w:pPr>
        <w:widowControl/>
        <w:snapToGrid w:val="0"/>
        <w:spacing w:line="360" w:lineRule="auto"/>
        <w:ind w:firstLine="640" w:firstLineChars="200"/>
        <w:rPr>
          <w:rFonts w:ascii="Times New Roman" w:hAnsi="Times New Roman" w:eastAsia="仿宋_GB2312" w:cs="Times New Roman"/>
          <w:color w:val="000000" w:themeColor="text1"/>
          <w:sz w:val="32"/>
          <w:szCs w:val="32"/>
          <w:highlight w:val="none"/>
          <w14:textFill>
            <w14:solidFill>
              <w14:schemeClr w14:val="tx1"/>
            </w14:solidFill>
          </w14:textFill>
        </w:rPr>
      </w:pPr>
      <w:r>
        <w:rPr>
          <w:rFonts w:ascii="Times New Roman" w:hAnsi="Times New Roman" w:eastAsia="仿宋_GB2312" w:cs="Times New Roman"/>
          <w:color w:val="000000" w:themeColor="text1"/>
          <w:sz w:val="32"/>
          <w:szCs w:val="32"/>
          <w:highlight w:val="none"/>
          <w14:textFill>
            <w14:solidFill>
              <w14:schemeClr w14:val="tx1"/>
            </w14:solidFill>
          </w14:textFill>
        </w:rPr>
        <w:t>调剂工作是硕士研究生招生工作的重要环节，对满足考生志愿选择、保障考生权益至关重要。学校</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和学院</w:t>
      </w:r>
      <w:r>
        <w:rPr>
          <w:rFonts w:ascii="Times New Roman" w:hAnsi="Times New Roman" w:eastAsia="仿宋_GB2312" w:cs="Times New Roman"/>
          <w:color w:val="000000" w:themeColor="text1"/>
          <w:sz w:val="32"/>
          <w:szCs w:val="32"/>
          <w:highlight w:val="none"/>
          <w14:textFill>
            <w14:solidFill>
              <w14:schemeClr w14:val="tx1"/>
            </w14:solidFill>
          </w14:textFill>
        </w:rPr>
        <w:t>按教育部、上海市有关政策，结合学科建设和发展需要，坚持“公平、公正、公开”的原则，“按需招生、全面衡量、择优录取、宁缺毋滥”，严格按照全国硕士研究生招生管理规定确定的考生调剂基本条件和要求，规范、科学、有序开展调剂工作。</w:t>
      </w:r>
    </w:p>
    <w:p w14:paraId="7BD36C00">
      <w:pPr>
        <w:widowControl/>
        <w:snapToGrid w:val="0"/>
        <w:spacing w:line="360" w:lineRule="auto"/>
        <w:ind w:firstLine="645"/>
        <w:rPr>
          <w:rFonts w:ascii="Times New Roman" w:hAnsi="Times New Roman" w:eastAsia="黑体" w:cs="Times New Roman"/>
          <w:kern w:val="0"/>
          <w:sz w:val="32"/>
          <w:szCs w:val="32"/>
          <w:highlight w:val="none"/>
        </w:rPr>
      </w:pPr>
      <w:r>
        <w:rPr>
          <w:rFonts w:ascii="Times New Roman" w:hAnsi="Times New Roman" w:eastAsia="黑体" w:cs="Times New Roman"/>
          <w:kern w:val="0"/>
          <w:sz w:val="32"/>
          <w:szCs w:val="32"/>
          <w:highlight w:val="none"/>
        </w:rPr>
        <w:t>二、组织管理</w:t>
      </w:r>
    </w:p>
    <w:p w14:paraId="51ACF1CB">
      <w:pPr>
        <w:widowControl/>
        <w:snapToGrid w:val="0"/>
        <w:spacing w:line="360" w:lineRule="auto"/>
        <w:ind w:firstLine="640" w:firstLineChars="200"/>
        <w:rPr>
          <w:rFonts w:ascii="Times New Roman" w:hAnsi="Times New Roman" w:eastAsia="仿宋_GB2312" w:cs="Times New Roman"/>
          <w:color w:val="000000" w:themeColor="text1"/>
          <w:sz w:val="32"/>
          <w:szCs w:val="32"/>
          <w:highlight w:val="none"/>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14:textFill>
            <w14:solidFill>
              <w14:schemeClr w14:val="tx1"/>
            </w14:solidFill>
          </w14:textFill>
        </w:rPr>
        <w:t>1.</w:t>
      </w:r>
      <w:r>
        <w:rPr>
          <w:rFonts w:ascii="Times New Roman" w:hAnsi="Times New Roman" w:eastAsia="仿宋_GB2312" w:cs="Times New Roman"/>
          <w:color w:val="000000" w:themeColor="text1"/>
          <w:sz w:val="32"/>
          <w:szCs w:val="32"/>
          <w:highlight w:val="none"/>
          <w14:textFill>
            <w14:solidFill>
              <w14:schemeClr w14:val="tx1"/>
            </w14:solidFill>
          </w14:textFill>
        </w:rPr>
        <w:t>学校</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研究生招生委员会</w:t>
      </w:r>
      <w:r>
        <w:rPr>
          <w:rFonts w:ascii="Times New Roman" w:hAnsi="Times New Roman" w:eastAsia="仿宋_GB2312" w:cs="Times New Roman"/>
          <w:color w:val="000000" w:themeColor="text1"/>
          <w:sz w:val="32"/>
          <w:szCs w:val="32"/>
          <w:highlight w:val="none"/>
          <w14:textFill>
            <w14:solidFill>
              <w14:schemeClr w14:val="tx1"/>
            </w14:solidFill>
          </w14:textFill>
        </w:rPr>
        <w:t>负责对全校研究生招生工作的统一领导，负责全校硕士研究生招生调剂工作</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w:t>
      </w:r>
      <w:r>
        <w:rPr>
          <w:rFonts w:ascii="Times New Roman" w:hAnsi="Times New Roman" w:eastAsia="仿宋_GB2312" w:cs="Times New Roman"/>
          <w:color w:val="000000" w:themeColor="text1"/>
          <w:sz w:val="32"/>
          <w:szCs w:val="32"/>
          <w:highlight w:val="none"/>
          <w14:textFill>
            <w14:solidFill>
              <w14:schemeClr w14:val="tx1"/>
            </w14:solidFill>
          </w14:textFill>
        </w:rPr>
        <w:t>学校研究生招生</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工作</w:t>
      </w:r>
      <w:r>
        <w:rPr>
          <w:rFonts w:ascii="Times New Roman" w:hAnsi="Times New Roman" w:eastAsia="仿宋_GB2312" w:cs="Times New Roman"/>
          <w:color w:val="000000" w:themeColor="text1"/>
          <w:sz w:val="32"/>
          <w:szCs w:val="32"/>
          <w:highlight w:val="none"/>
          <w14:textFill>
            <w14:solidFill>
              <w14:schemeClr w14:val="tx1"/>
            </w14:solidFill>
          </w14:textFill>
        </w:rPr>
        <w:t>监察</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小组对全校研究生招生调剂工作进行全程监督</w:t>
      </w:r>
      <w:r>
        <w:rPr>
          <w:rFonts w:ascii="Times New Roman" w:hAnsi="Times New Roman" w:eastAsia="仿宋_GB2312" w:cs="Times New Roman"/>
          <w:color w:val="000000" w:themeColor="text1"/>
          <w:sz w:val="32"/>
          <w:szCs w:val="32"/>
          <w:highlight w:val="none"/>
          <w14:textFill>
            <w14:solidFill>
              <w14:schemeClr w14:val="tx1"/>
            </w14:solidFill>
          </w14:textFill>
        </w:rPr>
        <w:t>。</w:t>
      </w:r>
      <w:bookmarkStart w:id="3" w:name="_GoBack"/>
      <w:bookmarkEnd w:id="3"/>
    </w:p>
    <w:p w14:paraId="6B23C865">
      <w:pPr>
        <w:widowControl/>
        <w:snapToGrid w:val="0"/>
        <w:spacing w:line="360" w:lineRule="auto"/>
        <w:ind w:firstLine="640" w:firstLineChars="200"/>
        <w:rPr>
          <w:rFonts w:ascii="Times New Roman" w:hAnsi="Times New Roman" w:eastAsia="仿宋_GB2312" w:cs="Times New Roman"/>
          <w:color w:val="000000" w:themeColor="text1"/>
          <w:sz w:val="32"/>
          <w:szCs w:val="32"/>
          <w:highlight w:val="none"/>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14:textFill>
            <w14:solidFill>
              <w14:schemeClr w14:val="tx1"/>
            </w14:solidFill>
          </w14:textFill>
        </w:rPr>
        <w:t>2</w:t>
      </w:r>
      <w:r>
        <w:rPr>
          <w:rFonts w:ascii="Times New Roman" w:hAnsi="Times New Roman" w:eastAsia="仿宋_GB2312" w:cs="Times New Roman"/>
          <w:color w:val="000000" w:themeColor="text1"/>
          <w:sz w:val="32"/>
          <w:szCs w:val="32"/>
          <w:highlight w:val="none"/>
          <w14:textFill>
            <w14:solidFill>
              <w14:schemeClr w14:val="tx1"/>
            </w14:solidFill>
          </w14:textFill>
        </w:rPr>
        <w:t>.学院</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研究生</w:t>
      </w:r>
      <w:r>
        <w:rPr>
          <w:rFonts w:ascii="Times New Roman" w:hAnsi="Times New Roman" w:eastAsia="仿宋_GB2312" w:cs="Times New Roman"/>
          <w:color w:val="000000" w:themeColor="text1"/>
          <w:sz w:val="32"/>
          <w:szCs w:val="32"/>
          <w:highlight w:val="none"/>
          <w14:textFill>
            <w14:solidFill>
              <w14:schemeClr w14:val="tx1"/>
            </w14:solidFill>
          </w14:textFill>
        </w:rPr>
        <w:t>招生工作领导小组全面负责本院研究生调剂工作，并对调剂工作结果负责。学院</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研究生</w:t>
      </w:r>
      <w:r>
        <w:rPr>
          <w:rFonts w:ascii="Times New Roman" w:hAnsi="Times New Roman" w:eastAsia="仿宋_GB2312" w:cs="Times New Roman"/>
          <w:color w:val="000000" w:themeColor="text1"/>
          <w:sz w:val="32"/>
          <w:szCs w:val="32"/>
          <w:highlight w:val="none"/>
          <w14:textFill>
            <w14:solidFill>
              <w14:schemeClr w14:val="tx1"/>
            </w14:solidFill>
          </w14:textFill>
        </w:rPr>
        <w:t>招生</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工作</w:t>
      </w:r>
      <w:r>
        <w:rPr>
          <w:rFonts w:ascii="Times New Roman" w:hAnsi="Times New Roman" w:eastAsia="仿宋_GB2312" w:cs="Times New Roman"/>
          <w:color w:val="000000" w:themeColor="text1"/>
          <w:sz w:val="32"/>
          <w:szCs w:val="32"/>
          <w:highlight w:val="none"/>
          <w14:textFill>
            <w14:solidFill>
              <w14:schemeClr w14:val="tx1"/>
            </w14:solidFill>
          </w14:textFill>
        </w:rPr>
        <w:t>监察</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小组</w:t>
      </w:r>
      <w:r>
        <w:rPr>
          <w:rFonts w:ascii="Times New Roman" w:hAnsi="Times New Roman" w:eastAsia="仿宋_GB2312" w:cs="Times New Roman"/>
          <w:color w:val="000000" w:themeColor="text1"/>
          <w:sz w:val="32"/>
          <w:szCs w:val="32"/>
          <w:highlight w:val="none"/>
          <w14:textFill>
            <w14:solidFill>
              <w14:schemeClr w14:val="tx1"/>
            </w14:solidFill>
          </w14:textFill>
        </w:rPr>
        <w:t>全程监督调剂复试录取工作。</w:t>
      </w:r>
    </w:p>
    <w:p w14:paraId="79EC6392">
      <w:pPr>
        <w:widowControl/>
        <w:snapToGrid w:val="0"/>
        <w:spacing w:line="360" w:lineRule="auto"/>
        <w:ind w:firstLine="640" w:firstLineChars="200"/>
        <w:rPr>
          <w:rFonts w:ascii="Times New Roman" w:hAnsi="Times New Roman" w:eastAsia="仿宋_GB2312" w:cs="Times New Roman"/>
          <w:color w:val="000000" w:themeColor="text1"/>
          <w:sz w:val="32"/>
          <w:szCs w:val="32"/>
          <w:highlight w:val="none"/>
          <w14:textFill>
            <w14:solidFill>
              <w14:schemeClr w14:val="tx1"/>
            </w14:solidFill>
          </w14:textFill>
        </w:rPr>
      </w:pPr>
      <w:r>
        <w:rPr>
          <w:rFonts w:ascii="Times New Roman" w:hAnsi="Times New Roman" w:eastAsia="仿宋_GB2312" w:cs="Times New Roman"/>
          <w:color w:val="000000" w:themeColor="text1"/>
          <w:sz w:val="32"/>
          <w:szCs w:val="32"/>
          <w:highlight w:val="none"/>
          <w14:textFill>
            <w14:solidFill>
              <w14:schemeClr w14:val="tx1"/>
            </w14:solidFill>
          </w14:textFill>
        </w:rPr>
        <w:t>3.学院调剂实施细则和调剂安排在学院网站公布。</w:t>
      </w:r>
    </w:p>
    <w:p w14:paraId="6A4A1336">
      <w:pPr>
        <w:widowControl/>
        <w:snapToGrid w:val="0"/>
        <w:spacing w:line="360" w:lineRule="auto"/>
        <w:ind w:firstLine="645"/>
        <w:rPr>
          <w:rFonts w:ascii="Times New Roman" w:hAnsi="Times New Roman" w:eastAsia="黑体" w:cs="Times New Roman"/>
          <w:kern w:val="0"/>
          <w:sz w:val="32"/>
          <w:szCs w:val="32"/>
          <w:highlight w:val="none"/>
        </w:rPr>
      </w:pPr>
      <w:r>
        <w:rPr>
          <w:rFonts w:ascii="Times New Roman" w:hAnsi="Times New Roman" w:eastAsia="黑体" w:cs="Times New Roman"/>
          <w:kern w:val="0"/>
          <w:sz w:val="32"/>
          <w:szCs w:val="32"/>
          <w:highlight w:val="none"/>
        </w:rPr>
        <w:t>三、</w:t>
      </w:r>
      <w:r>
        <w:rPr>
          <w:rFonts w:hint="eastAsia" w:ascii="Times New Roman" w:hAnsi="Times New Roman" w:eastAsia="黑体" w:cs="Times New Roman"/>
          <w:kern w:val="0"/>
          <w:sz w:val="32"/>
          <w:szCs w:val="32"/>
          <w:highlight w:val="none"/>
        </w:rPr>
        <w:t>调剂基本条件</w:t>
      </w:r>
    </w:p>
    <w:p w14:paraId="7C93CC6E">
      <w:pPr>
        <w:widowControl/>
        <w:snapToGrid w:val="0"/>
        <w:spacing w:line="360" w:lineRule="auto"/>
        <w:ind w:firstLine="645"/>
        <w:rPr>
          <w:rFonts w:ascii="Times New Roman" w:hAnsi="Times New Roman" w:eastAsia="仿宋_GB2312" w:cs="Times New Roman"/>
          <w:color w:val="000000" w:themeColor="text1"/>
          <w:sz w:val="32"/>
          <w:szCs w:val="32"/>
          <w:highlight w:val="none"/>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14:textFill>
            <w14:solidFill>
              <w14:schemeClr w14:val="tx1"/>
            </w14:solidFill>
          </w14:textFill>
        </w:rPr>
        <w:t>1.</w:t>
      </w:r>
      <w:r>
        <w:rPr>
          <w:rFonts w:ascii="Times New Roman" w:hAnsi="Times New Roman" w:eastAsia="仿宋_GB2312" w:cs="Times New Roman"/>
          <w:color w:val="000000" w:themeColor="text1"/>
          <w:sz w:val="32"/>
          <w:szCs w:val="32"/>
          <w:highlight w:val="none"/>
          <w14:textFill>
            <w14:solidFill>
              <w14:schemeClr w14:val="tx1"/>
            </w14:solidFill>
          </w14:textFill>
        </w:rPr>
        <w:t>符合</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我校202</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6</w:t>
      </w:r>
      <w:r>
        <w:rPr>
          <w:rFonts w:ascii="Times New Roman" w:hAnsi="Times New Roman" w:eastAsia="仿宋_GB2312" w:cs="Times New Roman"/>
          <w:color w:val="000000" w:themeColor="text1"/>
          <w:sz w:val="32"/>
          <w:szCs w:val="32"/>
          <w:highlight w:val="none"/>
          <w14:textFill>
            <w14:solidFill>
              <w14:schemeClr w14:val="tx1"/>
            </w14:solidFill>
          </w14:textFill>
        </w:rPr>
        <w:t>年招生简章中规定的调入专业报考条件。</w:t>
      </w:r>
    </w:p>
    <w:p w14:paraId="751F04AB">
      <w:pPr>
        <w:widowControl/>
        <w:snapToGrid w:val="0"/>
        <w:spacing w:line="360" w:lineRule="auto"/>
        <w:ind w:firstLine="645"/>
        <w:rPr>
          <w:rFonts w:ascii="Times New Roman" w:hAnsi="Times New Roman" w:eastAsia="仿宋_GB2312" w:cs="Times New Roman"/>
          <w:color w:val="000000" w:themeColor="text1"/>
          <w:sz w:val="32"/>
          <w:szCs w:val="32"/>
          <w:highlight w:val="none"/>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14:textFill>
            <w14:solidFill>
              <w14:schemeClr w14:val="tx1"/>
            </w14:solidFill>
          </w14:textFill>
        </w:rPr>
        <w:t>2.</w:t>
      </w:r>
      <w:r>
        <w:rPr>
          <w:rFonts w:ascii="Times New Roman" w:hAnsi="Times New Roman" w:eastAsia="仿宋_GB2312" w:cs="Times New Roman"/>
          <w:color w:val="000000" w:themeColor="text1"/>
          <w:sz w:val="32"/>
          <w:szCs w:val="32"/>
          <w:highlight w:val="none"/>
          <w14:textFill>
            <w14:solidFill>
              <w14:schemeClr w14:val="tx1"/>
            </w14:solidFill>
          </w14:textFill>
        </w:rPr>
        <w:t>初试成绩的总分和单科成绩均需符合A类国家线要求。</w:t>
      </w:r>
    </w:p>
    <w:p w14:paraId="4343269D">
      <w:pPr>
        <w:widowControl/>
        <w:snapToGrid w:val="0"/>
        <w:spacing w:line="360" w:lineRule="auto"/>
        <w:ind w:firstLine="645"/>
        <w:rPr>
          <w:rFonts w:ascii="Times New Roman" w:hAnsi="Times New Roman" w:eastAsia="仿宋_GB2312" w:cs="Times New Roman"/>
          <w:color w:val="000000" w:themeColor="text1"/>
          <w:sz w:val="32"/>
          <w:szCs w:val="32"/>
          <w:highlight w:val="none"/>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14:textFill>
            <w14:solidFill>
              <w14:schemeClr w14:val="tx1"/>
            </w14:solidFill>
          </w14:textFill>
        </w:rPr>
        <w:t>3.原则上调剂考生</w:t>
      </w:r>
      <w:r>
        <w:rPr>
          <w:rFonts w:ascii="Times New Roman" w:hAnsi="Times New Roman" w:eastAsia="仿宋_GB2312" w:cs="Times New Roman"/>
          <w:color w:val="000000" w:themeColor="text1"/>
          <w:sz w:val="32"/>
          <w:szCs w:val="32"/>
          <w:highlight w:val="none"/>
          <w14:textFill>
            <w14:solidFill>
              <w14:schemeClr w14:val="tx1"/>
            </w14:solidFill>
          </w14:textFill>
        </w:rPr>
        <w:t>第一志愿报考专业与调入专业相同或相近，且在同一学科门类范围内。</w:t>
      </w:r>
    </w:p>
    <w:p w14:paraId="5C38D563">
      <w:pPr>
        <w:widowControl/>
        <w:snapToGrid w:val="0"/>
        <w:spacing w:line="360" w:lineRule="auto"/>
        <w:ind w:firstLine="645"/>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4.原则上</w:t>
      </w:r>
      <w:r>
        <w:rPr>
          <w:rFonts w:ascii="Times New Roman" w:hAnsi="Times New Roman" w:eastAsia="仿宋_GB2312" w:cs="Times New Roman"/>
          <w:color w:val="000000" w:themeColor="text1"/>
          <w:sz w:val="32"/>
          <w:szCs w:val="32"/>
          <w14:textFill>
            <w14:solidFill>
              <w14:schemeClr w14:val="tx1"/>
            </w14:solidFill>
          </w14:textFill>
        </w:rPr>
        <w:t>初试科目与调入专业初试科目相同或相近</w:t>
      </w:r>
      <w:r>
        <w:rPr>
          <w:rFonts w:hint="eastAsia" w:ascii="Times New Roman" w:hAnsi="Times New Roman" w:eastAsia="仿宋_GB2312" w:cs="Times New Roman"/>
          <w:color w:val="000000" w:themeColor="text1"/>
          <w:sz w:val="32"/>
          <w:szCs w:val="32"/>
          <w14:textFill>
            <w14:solidFill>
              <w14:schemeClr w14:val="tx1"/>
            </w14:solidFill>
          </w14:textFill>
        </w:rPr>
        <w:t>。</w:t>
      </w:r>
    </w:p>
    <w:p w14:paraId="6E191BD2">
      <w:pPr>
        <w:widowControl/>
        <w:snapToGrid w:val="0"/>
        <w:spacing w:line="360" w:lineRule="auto"/>
        <w:ind w:firstLine="645"/>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5.</w:t>
      </w:r>
      <w:r>
        <w:rPr>
          <w:rFonts w:ascii="Times New Roman" w:hAnsi="Times New Roman" w:eastAsia="仿宋_GB2312" w:cs="Times New Roman"/>
          <w:color w:val="000000" w:themeColor="text1"/>
          <w:sz w:val="32"/>
          <w:szCs w:val="32"/>
          <w14:textFill>
            <w14:solidFill>
              <w14:schemeClr w14:val="tx1"/>
            </w14:solidFill>
          </w14:textFill>
        </w:rPr>
        <w:t>调剂考生确保所提供信息真实有效，且不被第一志愿单位录取。</w:t>
      </w:r>
    </w:p>
    <w:p w14:paraId="131CEB47">
      <w:pPr>
        <w:widowControl/>
        <w:snapToGrid w:val="0"/>
        <w:spacing w:line="360" w:lineRule="auto"/>
        <w:ind w:firstLine="645"/>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6.</w:t>
      </w:r>
      <w:r>
        <w:rPr>
          <w:rFonts w:ascii="Times New Roman" w:hAnsi="Times New Roman" w:eastAsia="仿宋_GB2312" w:cs="Times New Roman"/>
          <w:color w:val="000000" w:themeColor="text1"/>
          <w:sz w:val="32"/>
          <w:szCs w:val="32"/>
          <w14:textFill>
            <w14:solidFill>
              <w14:schemeClr w14:val="tx1"/>
            </w14:solidFill>
          </w14:textFill>
        </w:rPr>
        <w:t xml:space="preserve">加分政策按照国家及上海市相关规定执行。 </w:t>
      </w:r>
    </w:p>
    <w:p w14:paraId="7E5E1391">
      <w:pPr>
        <w:widowControl/>
        <w:snapToGrid w:val="0"/>
        <w:spacing w:line="360" w:lineRule="auto"/>
        <w:ind w:firstLine="645"/>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7.</w:t>
      </w:r>
      <w:r>
        <w:rPr>
          <w:rFonts w:ascii="Times New Roman" w:hAnsi="Times New Roman" w:eastAsia="仿宋_GB2312" w:cs="Times New Roman"/>
          <w:color w:val="000000" w:themeColor="text1"/>
          <w:sz w:val="32"/>
          <w:szCs w:val="32"/>
          <w14:textFill>
            <w14:solidFill>
              <w14:schemeClr w14:val="tx1"/>
            </w14:solidFill>
          </w14:textFill>
        </w:rPr>
        <w:t>非全日制调剂专业只招收在职定向就业人员。所有调剂非全日制专业的考生均需签订定向就业协议，不转档案，不转户口，不解决住宿，不享受</w:t>
      </w:r>
      <w:r>
        <w:rPr>
          <w:rFonts w:hint="eastAsia" w:ascii="Times New Roman" w:hAnsi="Times New Roman" w:eastAsia="仿宋_GB2312" w:cs="Times New Roman"/>
          <w:color w:val="000000" w:themeColor="text1"/>
          <w:sz w:val="32"/>
          <w:szCs w:val="32"/>
          <w14:textFill>
            <w14:solidFill>
              <w14:schemeClr w14:val="tx1"/>
            </w14:solidFill>
          </w14:textFill>
        </w:rPr>
        <w:t>奖助学金</w:t>
      </w:r>
      <w:r>
        <w:rPr>
          <w:rFonts w:ascii="Times New Roman" w:hAnsi="Times New Roman" w:eastAsia="仿宋_GB2312" w:cs="Times New Roman"/>
          <w:color w:val="000000" w:themeColor="text1"/>
          <w:sz w:val="32"/>
          <w:szCs w:val="32"/>
          <w14:textFill>
            <w14:solidFill>
              <w14:schemeClr w14:val="tx1"/>
            </w14:solidFill>
          </w14:textFill>
        </w:rPr>
        <w:t>等相关待遇。</w:t>
      </w:r>
    </w:p>
    <w:p w14:paraId="1328FB26">
      <w:pPr>
        <w:widowControl/>
        <w:snapToGrid w:val="0"/>
        <w:spacing w:line="360" w:lineRule="auto"/>
        <w:ind w:firstLine="645"/>
        <w:rPr>
          <w:rFonts w:ascii="Times New Roman" w:hAnsi="Times New Roman" w:eastAsia="黑体" w:cs="Times New Roman"/>
          <w:kern w:val="0"/>
          <w:sz w:val="32"/>
          <w:szCs w:val="32"/>
        </w:rPr>
      </w:pPr>
      <w:r>
        <w:rPr>
          <w:rFonts w:hint="eastAsia" w:ascii="Times New Roman" w:hAnsi="Times New Roman" w:eastAsia="仿宋_GB2312" w:cs="Times New Roman"/>
          <w:color w:val="000000" w:themeColor="text1"/>
          <w:sz w:val="32"/>
          <w:szCs w:val="32"/>
          <w14:textFill>
            <w14:solidFill>
              <w14:schemeClr w14:val="tx1"/>
            </w14:solidFill>
          </w14:textFill>
        </w:rPr>
        <w:t>8</w:t>
      </w:r>
      <w:r>
        <w:rPr>
          <w:rFonts w:ascii="Times New Roman" w:hAnsi="Times New Roman" w:eastAsia="仿宋_GB2312" w:cs="Times New Roman"/>
          <w:color w:val="000000" w:themeColor="text1"/>
          <w:sz w:val="32"/>
          <w:szCs w:val="32"/>
          <w14:textFill>
            <w14:solidFill>
              <w14:schemeClr w14:val="tx1"/>
            </w14:solidFill>
          </w14:textFill>
        </w:rPr>
        <w:t>.报考条件未尽事宜，以《202</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6</w:t>
      </w:r>
      <w:r>
        <w:rPr>
          <w:rFonts w:ascii="Times New Roman" w:hAnsi="Times New Roman" w:eastAsia="仿宋_GB2312" w:cs="Times New Roman"/>
          <w:color w:val="000000" w:themeColor="text1"/>
          <w:sz w:val="32"/>
          <w:szCs w:val="32"/>
          <w14:textFill>
            <w14:solidFill>
              <w14:schemeClr w14:val="tx1"/>
            </w14:solidFill>
          </w14:textFill>
        </w:rPr>
        <w:t>年全国硕士研究生招生工作管理规定》、研招网调剂系统设置为准。</w:t>
      </w:r>
    </w:p>
    <w:p w14:paraId="5098F85F">
      <w:pPr>
        <w:widowControl/>
        <w:snapToGrid w:val="0"/>
        <w:spacing w:line="360" w:lineRule="auto"/>
        <w:ind w:firstLine="645"/>
        <w:rPr>
          <w:rFonts w:hint="eastAsia" w:ascii="Times New Roman" w:hAnsi="Times New Roman" w:eastAsia="黑体" w:cs="Times New Roman"/>
          <w:kern w:val="0"/>
          <w:sz w:val="32"/>
          <w:szCs w:val="32"/>
          <w:highlight w:val="yellow"/>
        </w:rPr>
      </w:pPr>
    </w:p>
    <w:p w14:paraId="5EBAD9C2">
      <w:pPr>
        <w:widowControl/>
        <w:snapToGrid w:val="0"/>
        <w:spacing w:line="360" w:lineRule="auto"/>
        <w:ind w:firstLine="645"/>
        <w:rPr>
          <w:rFonts w:hint="eastAsia" w:ascii="Times New Roman" w:hAnsi="Times New Roman" w:eastAsia="黑体" w:cs="Times New Roman"/>
          <w:kern w:val="0"/>
          <w:sz w:val="32"/>
          <w:szCs w:val="32"/>
          <w:highlight w:val="yellow"/>
        </w:rPr>
      </w:pPr>
    </w:p>
    <w:p w14:paraId="533DB9FE">
      <w:pPr>
        <w:widowControl/>
        <w:snapToGrid w:val="0"/>
        <w:spacing w:line="360" w:lineRule="auto"/>
        <w:ind w:firstLine="645"/>
        <w:rPr>
          <w:rFonts w:hint="eastAsia" w:ascii="Times New Roman" w:hAnsi="Times New Roman" w:eastAsia="黑体" w:cs="Times New Roman"/>
          <w:kern w:val="0"/>
          <w:sz w:val="32"/>
          <w:szCs w:val="32"/>
          <w:highlight w:val="yellow"/>
        </w:rPr>
      </w:pPr>
    </w:p>
    <w:p w14:paraId="56925CF6">
      <w:pPr>
        <w:widowControl/>
        <w:snapToGrid w:val="0"/>
        <w:spacing w:line="360" w:lineRule="auto"/>
        <w:ind w:firstLine="645"/>
        <w:rPr>
          <w:rFonts w:hint="eastAsia" w:ascii="Times New Roman" w:hAnsi="Times New Roman" w:eastAsia="黑体" w:cs="Times New Roman"/>
          <w:kern w:val="0"/>
          <w:sz w:val="32"/>
          <w:szCs w:val="32"/>
          <w:highlight w:val="yellow"/>
        </w:rPr>
      </w:pPr>
    </w:p>
    <w:p w14:paraId="3F1E68ED">
      <w:pPr>
        <w:widowControl/>
        <w:snapToGrid w:val="0"/>
        <w:spacing w:line="360" w:lineRule="auto"/>
        <w:ind w:firstLine="645"/>
        <w:rPr>
          <w:rFonts w:ascii="Times New Roman" w:hAnsi="Times New Roman" w:eastAsia="黑体" w:cs="Times New Roman"/>
          <w:kern w:val="0"/>
          <w:sz w:val="32"/>
          <w:szCs w:val="32"/>
          <w:highlight w:val="none"/>
        </w:rPr>
      </w:pPr>
      <w:r>
        <w:rPr>
          <w:rFonts w:hint="eastAsia" w:ascii="Times New Roman" w:hAnsi="Times New Roman" w:eastAsia="黑体" w:cs="Times New Roman"/>
          <w:kern w:val="0"/>
          <w:sz w:val="32"/>
          <w:szCs w:val="32"/>
          <w:highlight w:val="none"/>
        </w:rPr>
        <w:t>四、接收一志愿专业范围</w:t>
      </w:r>
    </w:p>
    <w:tbl>
      <w:tblPr>
        <w:tblStyle w:val="8"/>
        <w:tblW w:w="9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276"/>
        <w:gridCol w:w="1701"/>
        <w:gridCol w:w="1843"/>
        <w:gridCol w:w="4116"/>
      </w:tblGrid>
      <w:tr w14:paraId="03F6D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Pr>
          <w:p w14:paraId="69452A2F">
            <w:pPr>
              <w:widowControl/>
              <w:spacing w:line="360" w:lineRule="auto"/>
              <w:jc w:val="center"/>
              <w:rPr>
                <w:rFonts w:ascii="Times New Roman" w:hAnsi="Times New Roman" w:eastAsia="仿宋_GB2312" w:cs="Times New Roman"/>
                <w:b/>
                <w:bCs/>
                <w:color w:val="000000" w:themeColor="text1"/>
                <w:sz w:val="24"/>
                <w:szCs w:val="24"/>
                <w:highlight w:val="none"/>
                <w14:textFill>
                  <w14:solidFill>
                    <w14:schemeClr w14:val="tx1"/>
                  </w14:solidFill>
                </w14:textFill>
              </w:rPr>
            </w:pPr>
            <w:r>
              <w:rPr>
                <w:rFonts w:ascii="Times New Roman" w:hAnsi="Times New Roman" w:eastAsia="仿宋_GB2312" w:cs="Times New Roman"/>
                <w:b/>
                <w:bCs/>
                <w:color w:val="000000" w:themeColor="text1"/>
                <w:sz w:val="24"/>
                <w:szCs w:val="24"/>
                <w:highlight w:val="none"/>
                <w14:textFill>
                  <w14:solidFill>
                    <w14:schemeClr w14:val="tx1"/>
                  </w14:solidFill>
                </w14:textFill>
              </w:rPr>
              <w:t>序号</w:t>
            </w:r>
          </w:p>
        </w:tc>
        <w:tc>
          <w:tcPr>
            <w:tcW w:w="1276" w:type="dxa"/>
          </w:tcPr>
          <w:p w14:paraId="09DB5256">
            <w:pPr>
              <w:widowControl/>
              <w:spacing w:line="360" w:lineRule="auto"/>
              <w:jc w:val="center"/>
              <w:rPr>
                <w:rFonts w:ascii="Times New Roman" w:hAnsi="Times New Roman" w:eastAsia="仿宋_GB2312" w:cs="Times New Roman"/>
                <w:b/>
                <w:bCs/>
                <w:color w:val="000000" w:themeColor="text1"/>
                <w:sz w:val="24"/>
                <w:szCs w:val="24"/>
                <w:highlight w:val="none"/>
                <w14:textFill>
                  <w14:solidFill>
                    <w14:schemeClr w14:val="tx1"/>
                  </w14:solidFill>
                </w14:textFill>
              </w:rPr>
            </w:pPr>
            <w:r>
              <w:rPr>
                <w:rFonts w:ascii="Times New Roman" w:hAnsi="Times New Roman" w:eastAsia="仿宋_GB2312" w:cs="Times New Roman"/>
                <w:b/>
                <w:bCs/>
                <w:color w:val="000000" w:themeColor="text1"/>
                <w:sz w:val="24"/>
                <w:szCs w:val="24"/>
                <w:highlight w:val="none"/>
                <w14:textFill>
                  <w14:solidFill>
                    <w14:schemeClr w14:val="tx1"/>
                  </w14:solidFill>
                </w14:textFill>
              </w:rPr>
              <w:t>学位类型</w:t>
            </w:r>
          </w:p>
        </w:tc>
        <w:tc>
          <w:tcPr>
            <w:tcW w:w="1701" w:type="dxa"/>
          </w:tcPr>
          <w:p w14:paraId="178A508F">
            <w:pPr>
              <w:widowControl/>
              <w:spacing w:line="360" w:lineRule="auto"/>
              <w:jc w:val="center"/>
              <w:rPr>
                <w:rFonts w:ascii="Times New Roman" w:hAnsi="Times New Roman" w:eastAsia="仿宋_GB2312" w:cs="Times New Roman"/>
                <w:b/>
                <w:bCs/>
                <w:color w:val="000000" w:themeColor="text1"/>
                <w:sz w:val="24"/>
                <w:szCs w:val="24"/>
                <w:highlight w:val="none"/>
                <w14:textFill>
                  <w14:solidFill>
                    <w14:schemeClr w14:val="tx1"/>
                  </w14:solidFill>
                </w14:textFill>
              </w:rPr>
            </w:pPr>
            <w:r>
              <w:rPr>
                <w:rFonts w:ascii="Times New Roman" w:hAnsi="Times New Roman" w:eastAsia="仿宋_GB2312" w:cs="Times New Roman"/>
                <w:b/>
                <w:bCs/>
                <w:color w:val="000000" w:themeColor="text1"/>
                <w:sz w:val="24"/>
                <w:szCs w:val="24"/>
                <w:highlight w:val="none"/>
                <w14:textFill>
                  <w14:solidFill>
                    <w14:schemeClr w14:val="tx1"/>
                  </w14:solidFill>
                </w14:textFill>
              </w:rPr>
              <w:t>学科专业代码</w:t>
            </w:r>
          </w:p>
        </w:tc>
        <w:tc>
          <w:tcPr>
            <w:tcW w:w="1843" w:type="dxa"/>
          </w:tcPr>
          <w:p w14:paraId="02F49346">
            <w:pPr>
              <w:widowControl/>
              <w:spacing w:line="360" w:lineRule="auto"/>
              <w:jc w:val="center"/>
              <w:rPr>
                <w:rFonts w:ascii="Times New Roman" w:hAnsi="Times New Roman" w:eastAsia="仿宋_GB2312" w:cs="Times New Roman"/>
                <w:b/>
                <w:bCs/>
                <w:color w:val="000000" w:themeColor="text1"/>
                <w:sz w:val="24"/>
                <w:szCs w:val="24"/>
                <w:highlight w:val="none"/>
                <w14:textFill>
                  <w14:solidFill>
                    <w14:schemeClr w14:val="tx1"/>
                  </w14:solidFill>
                </w14:textFill>
              </w:rPr>
            </w:pPr>
            <w:r>
              <w:rPr>
                <w:rFonts w:ascii="Times New Roman" w:hAnsi="Times New Roman" w:eastAsia="仿宋_GB2312" w:cs="Times New Roman"/>
                <w:b/>
                <w:bCs/>
                <w:color w:val="000000" w:themeColor="text1"/>
                <w:sz w:val="24"/>
                <w:szCs w:val="24"/>
                <w:highlight w:val="none"/>
                <w14:textFill>
                  <w14:solidFill>
                    <w14:schemeClr w14:val="tx1"/>
                  </w14:solidFill>
                </w14:textFill>
              </w:rPr>
              <w:t>学科专业名称</w:t>
            </w:r>
          </w:p>
        </w:tc>
        <w:tc>
          <w:tcPr>
            <w:tcW w:w="4116" w:type="dxa"/>
          </w:tcPr>
          <w:p w14:paraId="16192728">
            <w:pPr>
              <w:widowControl/>
              <w:spacing w:line="360" w:lineRule="auto"/>
              <w:jc w:val="center"/>
              <w:rPr>
                <w:rFonts w:ascii="Times New Roman" w:hAnsi="Times New Roman" w:eastAsia="仿宋_GB2312" w:cs="Times New Roman"/>
                <w:b/>
                <w:bCs/>
                <w:color w:val="000000" w:themeColor="text1"/>
                <w:sz w:val="24"/>
                <w:szCs w:val="24"/>
                <w:highlight w:val="none"/>
                <w14:textFill>
                  <w14:solidFill>
                    <w14:schemeClr w14:val="tx1"/>
                  </w14:solidFill>
                </w14:textFill>
              </w:rPr>
            </w:pPr>
            <w:r>
              <w:rPr>
                <w:rFonts w:ascii="Times New Roman" w:hAnsi="Times New Roman" w:eastAsia="仿宋_GB2312" w:cs="Times New Roman"/>
                <w:b/>
                <w:bCs/>
                <w:color w:val="000000" w:themeColor="text1"/>
                <w:sz w:val="24"/>
                <w:szCs w:val="24"/>
                <w:highlight w:val="none"/>
                <w14:textFill>
                  <w14:solidFill>
                    <w14:schemeClr w14:val="tx1"/>
                  </w14:solidFill>
                </w14:textFill>
              </w:rPr>
              <w:t>20</w:t>
            </w:r>
            <w:r>
              <w:rPr>
                <w:rFonts w:hint="eastAsia" w:ascii="Times New Roman" w:hAnsi="Times New Roman" w:eastAsia="仿宋_GB2312" w:cs="Times New Roman"/>
                <w:b/>
                <w:bCs/>
                <w:color w:val="000000" w:themeColor="text1"/>
                <w:sz w:val="24"/>
                <w:szCs w:val="24"/>
                <w:highlight w:val="none"/>
                <w14:textFill>
                  <w14:solidFill>
                    <w14:schemeClr w14:val="tx1"/>
                  </w14:solidFill>
                </w14:textFill>
              </w:rPr>
              <w:t>2</w:t>
            </w:r>
            <w:r>
              <w:rPr>
                <w:rFonts w:hint="eastAsia" w:ascii="Times New Roman" w:hAnsi="Times New Roman" w:eastAsia="仿宋_GB2312" w:cs="Times New Roman"/>
                <w:b/>
                <w:bCs/>
                <w:color w:val="000000" w:themeColor="text1"/>
                <w:sz w:val="24"/>
                <w:szCs w:val="24"/>
                <w:highlight w:val="none"/>
                <w:lang w:val="en-US" w:eastAsia="zh-CN"/>
                <w14:textFill>
                  <w14:solidFill>
                    <w14:schemeClr w14:val="tx1"/>
                  </w14:solidFill>
                </w14:textFill>
              </w:rPr>
              <w:t>6</w:t>
            </w:r>
            <w:r>
              <w:rPr>
                <w:rFonts w:ascii="Times New Roman" w:hAnsi="Times New Roman" w:eastAsia="仿宋_GB2312" w:cs="Times New Roman"/>
                <w:b/>
                <w:bCs/>
                <w:color w:val="000000" w:themeColor="text1"/>
                <w:sz w:val="24"/>
                <w:szCs w:val="24"/>
                <w:highlight w:val="none"/>
                <w14:textFill>
                  <w14:solidFill>
                    <w14:schemeClr w14:val="tx1"/>
                  </w14:solidFill>
                </w14:textFill>
              </w:rPr>
              <w:t>年接收一志愿调剂范围</w:t>
            </w:r>
          </w:p>
        </w:tc>
      </w:tr>
      <w:tr w14:paraId="72BED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5" w:hRule="atLeast"/>
          <w:jc w:val="center"/>
        </w:trPr>
        <w:tc>
          <w:tcPr>
            <w:tcW w:w="704" w:type="dxa"/>
            <w:vAlign w:val="center"/>
          </w:tcPr>
          <w:p w14:paraId="2C265F85">
            <w:pPr>
              <w:widowControl/>
              <w:adjustRightInd w:val="0"/>
              <w:snapToGrid w:val="0"/>
              <w:jc w:val="center"/>
              <w:rPr>
                <w:rFonts w:ascii="仿宋_GB2312" w:hAnsi="宋体" w:eastAsia="仿宋_GB2312" w:cs="宋体"/>
                <w:color w:val="000000"/>
                <w:kern w:val="0"/>
                <w:szCs w:val="24"/>
                <w:highlight w:val="none"/>
              </w:rPr>
            </w:pPr>
            <w:r>
              <w:rPr>
                <w:rFonts w:hint="eastAsia" w:ascii="仿宋_GB2312" w:hAnsi="宋体" w:eastAsia="仿宋_GB2312" w:cs="宋体"/>
                <w:color w:val="000000"/>
                <w:kern w:val="0"/>
                <w:szCs w:val="24"/>
                <w:highlight w:val="none"/>
              </w:rPr>
              <w:t>1</w:t>
            </w:r>
          </w:p>
        </w:tc>
        <w:tc>
          <w:tcPr>
            <w:tcW w:w="1276" w:type="dxa"/>
            <w:vAlign w:val="center"/>
          </w:tcPr>
          <w:p w14:paraId="52FF12AA">
            <w:pPr>
              <w:widowControl/>
              <w:adjustRightInd w:val="0"/>
              <w:snapToGrid w:val="0"/>
              <w:jc w:val="center"/>
              <w:rPr>
                <w:rFonts w:ascii="仿宋_GB2312" w:hAnsi="宋体" w:eastAsia="仿宋_GB2312" w:cs="宋体"/>
                <w:color w:val="000000"/>
                <w:kern w:val="0"/>
                <w:szCs w:val="24"/>
                <w:highlight w:val="none"/>
              </w:rPr>
            </w:pPr>
            <w:r>
              <w:rPr>
                <w:rFonts w:hint="eastAsia" w:ascii="仿宋_GB2312" w:hAnsi="宋体" w:eastAsia="仿宋_GB2312" w:cs="宋体"/>
                <w:color w:val="000000"/>
                <w:kern w:val="0"/>
                <w:szCs w:val="24"/>
                <w:highlight w:val="none"/>
              </w:rPr>
              <w:t>专业学位</w:t>
            </w:r>
          </w:p>
          <w:p w14:paraId="46B230E4">
            <w:pPr>
              <w:widowControl/>
              <w:adjustRightInd w:val="0"/>
              <w:snapToGrid w:val="0"/>
              <w:jc w:val="center"/>
              <w:rPr>
                <w:rFonts w:ascii="仿宋_GB2312" w:hAnsi="宋体" w:eastAsia="仿宋_GB2312" w:cs="宋体"/>
                <w:color w:val="000000"/>
                <w:kern w:val="0"/>
                <w:szCs w:val="24"/>
                <w:highlight w:val="none"/>
              </w:rPr>
            </w:pPr>
            <w:r>
              <w:rPr>
                <w:rFonts w:hint="eastAsia" w:ascii="仿宋_GB2312" w:hAnsi="宋体" w:eastAsia="仿宋_GB2312" w:cs="宋体"/>
                <w:color w:val="000000"/>
                <w:kern w:val="0"/>
                <w:szCs w:val="24"/>
                <w:highlight w:val="none"/>
              </w:rPr>
              <w:t>硕士</w:t>
            </w:r>
          </w:p>
        </w:tc>
        <w:tc>
          <w:tcPr>
            <w:tcW w:w="1701" w:type="dxa"/>
            <w:vAlign w:val="center"/>
          </w:tcPr>
          <w:p w14:paraId="3B8C2970">
            <w:pPr>
              <w:widowControl/>
              <w:adjustRightInd w:val="0"/>
              <w:snapToGrid w:val="0"/>
              <w:jc w:val="center"/>
              <w:rPr>
                <w:rFonts w:ascii="仿宋_GB2312" w:hAnsi="宋体" w:eastAsia="仿宋_GB2312" w:cs="宋体"/>
                <w:color w:val="000000"/>
                <w:kern w:val="0"/>
                <w:szCs w:val="24"/>
                <w:highlight w:val="none"/>
              </w:rPr>
            </w:pPr>
            <w:r>
              <w:rPr>
                <w:rFonts w:ascii="仿宋_GB2312" w:hAnsi="宋体" w:eastAsia="仿宋_GB2312" w:cs="宋体"/>
                <w:color w:val="000000"/>
                <w:kern w:val="0"/>
                <w:szCs w:val="24"/>
                <w:highlight w:val="none"/>
              </w:rPr>
              <w:t>025100</w:t>
            </w:r>
          </w:p>
        </w:tc>
        <w:tc>
          <w:tcPr>
            <w:tcW w:w="1843" w:type="dxa"/>
            <w:vAlign w:val="center"/>
          </w:tcPr>
          <w:p w14:paraId="1C7EDC65">
            <w:pPr>
              <w:widowControl/>
              <w:adjustRightInd w:val="0"/>
              <w:snapToGrid w:val="0"/>
              <w:jc w:val="center"/>
              <w:rPr>
                <w:rFonts w:ascii="仿宋_GB2312" w:hAnsi="宋体" w:eastAsia="仿宋_GB2312" w:cs="宋体"/>
                <w:color w:val="000000"/>
                <w:kern w:val="0"/>
                <w:szCs w:val="24"/>
                <w:highlight w:val="none"/>
              </w:rPr>
            </w:pPr>
            <w:r>
              <w:rPr>
                <w:rFonts w:hint="eastAsia" w:ascii="仿宋_GB2312" w:hAnsi="宋体" w:eastAsia="仿宋_GB2312" w:cs="宋体"/>
                <w:color w:val="000000"/>
                <w:kern w:val="0"/>
                <w:szCs w:val="24"/>
                <w:highlight w:val="none"/>
              </w:rPr>
              <w:t>金融</w:t>
            </w:r>
          </w:p>
        </w:tc>
        <w:tc>
          <w:tcPr>
            <w:tcW w:w="4116" w:type="dxa"/>
            <w:vMerge w:val="restart"/>
          </w:tcPr>
          <w:p w14:paraId="45F7744F">
            <w:pPr>
              <w:adjustRightInd w:val="0"/>
              <w:snapToGrid w:val="0"/>
              <w:jc w:val="center"/>
              <w:rPr>
                <w:rFonts w:ascii="仿宋_GB2312" w:hAnsi="宋体" w:eastAsia="仿宋_GB2312" w:cs="宋体"/>
                <w:color w:val="000000"/>
                <w:kern w:val="0"/>
                <w:szCs w:val="24"/>
                <w:highlight w:val="none"/>
              </w:rPr>
            </w:pPr>
            <w:r>
              <w:rPr>
                <w:rFonts w:ascii="仿宋_GB2312" w:hAnsi="宋体" w:eastAsia="仿宋_GB2312" w:cs="宋体"/>
                <w:color w:val="000000"/>
                <w:kern w:val="0"/>
                <w:szCs w:val="24"/>
                <w:highlight w:val="none"/>
              </w:rPr>
              <w:t>0201理论经济学</w:t>
            </w:r>
          </w:p>
          <w:p w14:paraId="354D2460">
            <w:pPr>
              <w:adjustRightInd w:val="0"/>
              <w:snapToGrid w:val="0"/>
              <w:jc w:val="center"/>
              <w:rPr>
                <w:rFonts w:ascii="仿宋_GB2312" w:hAnsi="宋体" w:eastAsia="仿宋_GB2312" w:cs="宋体"/>
                <w:color w:val="000000"/>
                <w:kern w:val="0"/>
                <w:szCs w:val="24"/>
                <w:highlight w:val="none"/>
              </w:rPr>
            </w:pPr>
            <w:r>
              <w:rPr>
                <w:rFonts w:ascii="仿宋_GB2312" w:hAnsi="宋体" w:eastAsia="仿宋_GB2312" w:cs="宋体"/>
                <w:color w:val="000000"/>
                <w:kern w:val="0"/>
                <w:szCs w:val="24"/>
                <w:highlight w:val="none"/>
              </w:rPr>
              <w:t>0202应用经济学</w:t>
            </w:r>
          </w:p>
          <w:p w14:paraId="06FD1979">
            <w:pPr>
              <w:adjustRightInd w:val="0"/>
              <w:snapToGrid w:val="0"/>
              <w:jc w:val="center"/>
              <w:rPr>
                <w:rFonts w:ascii="仿宋_GB2312" w:hAnsi="宋体" w:eastAsia="仿宋_GB2312" w:cs="宋体"/>
                <w:color w:val="000000"/>
                <w:kern w:val="0"/>
                <w:szCs w:val="24"/>
                <w:highlight w:val="none"/>
              </w:rPr>
            </w:pPr>
            <w:r>
              <w:rPr>
                <w:rFonts w:ascii="仿宋_GB2312" w:hAnsi="宋体" w:eastAsia="仿宋_GB2312" w:cs="宋体"/>
                <w:color w:val="000000"/>
                <w:kern w:val="0"/>
                <w:szCs w:val="24"/>
                <w:highlight w:val="none"/>
              </w:rPr>
              <w:t>0251金融</w:t>
            </w:r>
          </w:p>
          <w:p w14:paraId="1FCA5117">
            <w:pPr>
              <w:adjustRightInd w:val="0"/>
              <w:snapToGrid w:val="0"/>
              <w:jc w:val="center"/>
              <w:rPr>
                <w:rFonts w:ascii="仿宋_GB2312" w:hAnsi="宋体" w:eastAsia="仿宋_GB2312" w:cs="宋体"/>
                <w:color w:val="000000"/>
                <w:kern w:val="0"/>
                <w:szCs w:val="24"/>
                <w:highlight w:val="none"/>
              </w:rPr>
            </w:pPr>
            <w:r>
              <w:rPr>
                <w:rFonts w:ascii="仿宋_GB2312" w:hAnsi="宋体" w:eastAsia="仿宋_GB2312" w:cs="宋体"/>
                <w:color w:val="000000"/>
                <w:kern w:val="0"/>
                <w:szCs w:val="24"/>
                <w:highlight w:val="none"/>
              </w:rPr>
              <w:t>0252应用统计</w:t>
            </w:r>
          </w:p>
          <w:p w14:paraId="54536797">
            <w:pPr>
              <w:adjustRightInd w:val="0"/>
              <w:snapToGrid w:val="0"/>
              <w:jc w:val="center"/>
              <w:rPr>
                <w:rFonts w:ascii="仿宋_GB2312" w:hAnsi="宋体" w:eastAsia="仿宋_GB2312" w:cs="宋体"/>
                <w:color w:val="000000"/>
                <w:kern w:val="0"/>
                <w:szCs w:val="24"/>
                <w:highlight w:val="none"/>
              </w:rPr>
            </w:pPr>
            <w:r>
              <w:rPr>
                <w:rFonts w:ascii="仿宋_GB2312" w:hAnsi="宋体" w:eastAsia="仿宋_GB2312" w:cs="宋体"/>
                <w:color w:val="000000"/>
                <w:kern w:val="0"/>
                <w:szCs w:val="24"/>
                <w:highlight w:val="none"/>
              </w:rPr>
              <w:t>0253税务</w:t>
            </w:r>
          </w:p>
          <w:p w14:paraId="799E7772">
            <w:pPr>
              <w:adjustRightInd w:val="0"/>
              <w:snapToGrid w:val="0"/>
              <w:jc w:val="center"/>
              <w:rPr>
                <w:rFonts w:ascii="仿宋_GB2312" w:hAnsi="宋体" w:eastAsia="仿宋_GB2312" w:cs="宋体"/>
                <w:color w:val="000000"/>
                <w:kern w:val="0"/>
                <w:szCs w:val="24"/>
                <w:highlight w:val="none"/>
              </w:rPr>
            </w:pPr>
            <w:r>
              <w:rPr>
                <w:rFonts w:ascii="仿宋_GB2312" w:hAnsi="宋体" w:eastAsia="仿宋_GB2312" w:cs="宋体"/>
                <w:color w:val="000000"/>
                <w:kern w:val="0"/>
                <w:szCs w:val="24"/>
                <w:highlight w:val="none"/>
              </w:rPr>
              <w:t>0254国际商务</w:t>
            </w:r>
          </w:p>
          <w:p w14:paraId="5CBEB5B9">
            <w:pPr>
              <w:adjustRightInd w:val="0"/>
              <w:snapToGrid w:val="0"/>
              <w:jc w:val="center"/>
              <w:rPr>
                <w:rFonts w:ascii="仿宋_GB2312" w:hAnsi="宋体" w:eastAsia="仿宋_GB2312" w:cs="宋体"/>
                <w:color w:val="000000"/>
                <w:kern w:val="0"/>
                <w:szCs w:val="24"/>
                <w:highlight w:val="none"/>
              </w:rPr>
            </w:pPr>
            <w:r>
              <w:rPr>
                <w:rFonts w:ascii="仿宋_GB2312" w:hAnsi="宋体" w:eastAsia="仿宋_GB2312" w:cs="宋体"/>
                <w:color w:val="000000"/>
                <w:kern w:val="0"/>
                <w:szCs w:val="24"/>
                <w:highlight w:val="none"/>
              </w:rPr>
              <w:t>0255保险</w:t>
            </w:r>
          </w:p>
          <w:p w14:paraId="4944715A">
            <w:pPr>
              <w:adjustRightInd w:val="0"/>
              <w:snapToGrid w:val="0"/>
              <w:jc w:val="center"/>
              <w:rPr>
                <w:rFonts w:ascii="仿宋_GB2312" w:hAnsi="宋体" w:eastAsia="仿宋_GB2312" w:cs="宋体"/>
                <w:color w:val="000000"/>
                <w:kern w:val="0"/>
                <w:szCs w:val="24"/>
                <w:highlight w:val="none"/>
              </w:rPr>
            </w:pPr>
            <w:r>
              <w:rPr>
                <w:rFonts w:ascii="仿宋_GB2312" w:hAnsi="宋体" w:eastAsia="仿宋_GB2312" w:cs="宋体"/>
                <w:color w:val="000000"/>
                <w:kern w:val="0"/>
                <w:szCs w:val="24"/>
                <w:highlight w:val="none"/>
              </w:rPr>
              <w:t>0256资产评估</w:t>
            </w:r>
          </w:p>
          <w:p w14:paraId="27409F5E">
            <w:pPr>
              <w:adjustRightInd w:val="0"/>
              <w:snapToGrid w:val="0"/>
              <w:jc w:val="center"/>
              <w:rPr>
                <w:rFonts w:hint="eastAsia" w:ascii="仿宋_GB2312" w:hAnsi="宋体" w:eastAsia="仿宋_GB2312" w:cs="宋体"/>
                <w:color w:val="000000"/>
                <w:kern w:val="0"/>
                <w:szCs w:val="24"/>
                <w:highlight w:val="none"/>
              </w:rPr>
            </w:pPr>
            <w:r>
              <w:rPr>
                <w:rFonts w:ascii="仿宋_GB2312" w:hAnsi="宋体" w:eastAsia="仿宋_GB2312" w:cs="宋体"/>
                <w:color w:val="000000"/>
                <w:kern w:val="0"/>
                <w:szCs w:val="24"/>
                <w:highlight w:val="none"/>
              </w:rPr>
              <w:t xml:space="preserve">0258 </w:t>
            </w:r>
            <w:r>
              <w:rPr>
                <w:rFonts w:hint="eastAsia" w:ascii="仿宋_GB2312" w:hAnsi="宋体" w:eastAsia="仿宋_GB2312" w:cs="宋体"/>
                <w:color w:val="000000"/>
                <w:kern w:val="0"/>
                <w:szCs w:val="24"/>
                <w:highlight w:val="none"/>
              </w:rPr>
              <w:t>数字经济</w:t>
            </w:r>
          </w:p>
          <w:p w14:paraId="6DFCF74F">
            <w:pPr>
              <w:adjustRightInd w:val="0"/>
              <w:snapToGrid w:val="0"/>
              <w:jc w:val="center"/>
              <w:rPr>
                <w:rFonts w:ascii="仿宋_GB2312" w:hAnsi="宋体" w:eastAsia="仿宋_GB2312" w:cs="宋体"/>
                <w:color w:val="000000"/>
                <w:kern w:val="0"/>
                <w:szCs w:val="24"/>
                <w:highlight w:val="none"/>
              </w:rPr>
            </w:pPr>
            <w:r>
              <w:rPr>
                <w:rFonts w:ascii="仿宋_GB2312" w:hAnsi="宋体" w:eastAsia="仿宋_GB2312" w:cs="宋体"/>
                <w:color w:val="000000"/>
                <w:kern w:val="0"/>
                <w:szCs w:val="24"/>
                <w:highlight w:val="none"/>
              </w:rPr>
              <w:t>0270统计学</w:t>
            </w:r>
          </w:p>
          <w:p w14:paraId="0D9E70FA">
            <w:pPr>
              <w:adjustRightInd w:val="0"/>
              <w:snapToGrid w:val="0"/>
              <w:jc w:val="center"/>
              <w:rPr>
                <w:rFonts w:ascii="仿宋_GB2312" w:hAnsi="宋体" w:eastAsia="仿宋_GB2312" w:cs="宋体"/>
                <w:color w:val="000000"/>
                <w:kern w:val="0"/>
                <w:szCs w:val="24"/>
                <w:highlight w:val="none"/>
              </w:rPr>
            </w:pPr>
            <w:r>
              <w:rPr>
                <w:rFonts w:hint="eastAsia" w:ascii="仿宋_GB2312" w:hAnsi="宋体" w:eastAsia="仿宋_GB2312" w:cs="宋体"/>
                <w:color w:val="000000"/>
                <w:kern w:val="0"/>
                <w:szCs w:val="24"/>
                <w:highlight w:val="none"/>
              </w:rPr>
              <w:t>0271区域国别学</w:t>
            </w:r>
          </w:p>
        </w:tc>
      </w:tr>
      <w:tr w14:paraId="43174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6" w:hRule="atLeast"/>
          <w:jc w:val="center"/>
        </w:trPr>
        <w:tc>
          <w:tcPr>
            <w:tcW w:w="704" w:type="dxa"/>
            <w:vAlign w:val="center"/>
          </w:tcPr>
          <w:p w14:paraId="0553CA9F">
            <w:pPr>
              <w:widowControl/>
              <w:spacing w:line="360" w:lineRule="auto"/>
              <w:jc w:val="center"/>
              <w:rPr>
                <w:rFonts w:ascii="仿宋_GB2312" w:hAnsi="宋体" w:eastAsia="仿宋_GB2312" w:cs="宋体"/>
                <w:color w:val="000000"/>
                <w:kern w:val="0"/>
                <w:szCs w:val="24"/>
                <w:highlight w:val="none"/>
              </w:rPr>
            </w:pPr>
            <w:r>
              <w:rPr>
                <w:rFonts w:hint="eastAsia" w:ascii="仿宋_GB2312" w:hAnsi="宋体" w:eastAsia="仿宋_GB2312" w:cs="宋体"/>
                <w:color w:val="000000"/>
                <w:kern w:val="0"/>
                <w:szCs w:val="24"/>
                <w:highlight w:val="none"/>
              </w:rPr>
              <w:t>2</w:t>
            </w:r>
          </w:p>
        </w:tc>
        <w:tc>
          <w:tcPr>
            <w:tcW w:w="1276" w:type="dxa"/>
            <w:vAlign w:val="center"/>
          </w:tcPr>
          <w:p w14:paraId="37E44E32">
            <w:pPr>
              <w:widowControl/>
              <w:spacing w:line="360" w:lineRule="auto"/>
              <w:jc w:val="center"/>
              <w:rPr>
                <w:rFonts w:ascii="仿宋_GB2312" w:hAnsi="宋体" w:eastAsia="仿宋_GB2312" w:cs="宋体"/>
                <w:color w:val="000000"/>
                <w:kern w:val="0"/>
                <w:szCs w:val="24"/>
                <w:highlight w:val="none"/>
              </w:rPr>
            </w:pPr>
            <w:r>
              <w:rPr>
                <w:rFonts w:hint="eastAsia" w:ascii="仿宋_GB2312" w:hAnsi="宋体" w:eastAsia="仿宋_GB2312" w:cs="宋体"/>
                <w:color w:val="000000"/>
                <w:kern w:val="0"/>
                <w:szCs w:val="24"/>
                <w:highlight w:val="none"/>
              </w:rPr>
              <w:t>专业学位</w:t>
            </w:r>
          </w:p>
          <w:p w14:paraId="7C0CF263">
            <w:pPr>
              <w:widowControl/>
              <w:spacing w:line="360" w:lineRule="auto"/>
              <w:jc w:val="center"/>
              <w:rPr>
                <w:rFonts w:ascii="仿宋_GB2312" w:hAnsi="宋体" w:eastAsia="仿宋_GB2312" w:cs="宋体"/>
                <w:color w:val="000000"/>
                <w:kern w:val="0"/>
                <w:szCs w:val="24"/>
                <w:highlight w:val="none"/>
              </w:rPr>
            </w:pPr>
            <w:r>
              <w:rPr>
                <w:rFonts w:hint="eastAsia" w:ascii="仿宋_GB2312" w:hAnsi="宋体" w:eastAsia="仿宋_GB2312" w:cs="宋体"/>
                <w:color w:val="000000"/>
                <w:kern w:val="0"/>
                <w:szCs w:val="24"/>
                <w:highlight w:val="none"/>
              </w:rPr>
              <w:t>硕士</w:t>
            </w:r>
          </w:p>
        </w:tc>
        <w:tc>
          <w:tcPr>
            <w:tcW w:w="1701" w:type="dxa"/>
            <w:vAlign w:val="center"/>
          </w:tcPr>
          <w:p w14:paraId="34C97320">
            <w:pPr>
              <w:widowControl/>
              <w:adjustRightInd w:val="0"/>
              <w:snapToGrid w:val="0"/>
              <w:jc w:val="center"/>
              <w:rPr>
                <w:rFonts w:ascii="仿宋_GB2312" w:hAnsi="宋体" w:eastAsia="仿宋_GB2312" w:cs="宋体"/>
                <w:color w:val="000000"/>
                <w:kern w:val="0"/>
                <w:szCs w:val="24"/>
                <w:highlight w:val="none"/>
              </w:rPr>
            </w:pPr>
            <w:r>
              <w:rPr>
                <w:rFonts w:ascii="仿宋_GB2312" w:hAnsi="宋体" w:eastAsia="仿宋_GB2312" w:cs="宋体"/>
                <w:color w:val="000000"/>
                <w:kern w:val="0"/>
                <w:szCs w:val="24"/>
                <w:highlight w:val="none"/>
              </w:rPr>
              <w:t>025400</w:t>
            </w:r>
          </w:p>
        </w:tc>
        <w:tc>
          <w:tcPr>
            <w:tcW w:w="1843" w:type="dxa"/>
            <w:vAlign w:val="center"/>
          </w:tcPr>
          <w:p w14:paraId="1D9BD4E3">
            <w:pPr>
              <w:widowControl/>
              <w:adjustRightInd w:val="0"/>
              <w:snapToGrid w:val="0"/>
              <w:jc w:val="center"/>
              <w:rPr>
                <w:rFonts w:ascii="仿宋_GB2312" w:hAnsi="宋体" w:eastAsia="仿宋_GB2312" w:cs="宋体"/>
                <w:color w:val="000000"/>
                <w:kern w:val="0"/>
                <w:szCs w:val="24"/>
                <w:highlight w:val="none"/>
              </w:rPr>
            </w:pPr>
            <w:r>
              <w:rPr>
                <w:rFonts w:hint="eastAsia" w:ascii="仿宋_GB2312" w:hAnsi="宋体" w:eastAsia="仿宋_GB2312" w:cs="宋体"/>
                <w:color w:val="000000"/>
                <w:kern w:val="0"/>
                <w:szCs w:val="24"/>
                <w:highlight w:val="none"/>
              </w:rPr>
              <w:t>国际商务</w:t>
            </w:r>
          </w:p>
        </w:tc>
        <w:tc>
          <w:tcPr>
            <w:tcW w:w="4116" w:type="dxa"/>
            <w:vMerge w:val="continue"/>
          </w:tcPr>
          <w:p w14:paraId="03EFEC47">
            <w:pPr>
              <w:jc w:val="center"/>
              <w:rPr>
                <w:rFonts w:ascii="Times New Roman" w:hAnsi="Times New Roman" w:eastAsia="黑体" w:cs="Times New Roman"/>
                <w:kern w:val="0"/>
                <w:szCs w:val="32"/>
                <w:highlight w:val="none"/>
              </w:rPr>
            </w:pPr>
          </w:p>
        </w:tc>
      </w:tr>
    </w:tbl>
    <w:p w14:paraId="4254AA7C">
      <w:pPr>
        <w:pStyle w:val="3"/>
        <w:snapToGrid w:val="0"/>
        <w:spacing w:before="0" w:line="360" w:lineRule="auto"/>
        <w:ind w:firstLine="640" w:firstLineChars="200"/>
        <w:rPr>
          <w:rFonts w:ascii="Times New Roman" w:hAnsi="Times New Roman" w:eastAsia="黑体" w:cs="Times New Roman"/>
          <w:highlight w:val="none"/>
          <w:lang w:eastAsia="zh-CN"/>
        </w:rPr>
      </w:pPr>
      <w:r>
        <w:rPr>
          <w:rFonts w:hint="eastAsia" w:ascii="Times New Roman" w:hAnsi="Times New Roman" w:eastAsia="黑体" w:cs="Times New Roman"/>
          <w:highlight w:val="none"/>
          <w:lang w:eastAsia="zh-CN"/>
        </w:rPr>
        <w:t>五</w:t>
      </w:r>
      <w:r>
        <w:rPr>
          <w:rFonts w:ascii="Times New Roman" w:hAnsi="Times New Roman" w:eastAsia="黑体" w:cs="Times New Roman"/>
          <w:highlight w:val="none"/>
          <w:lang w:eastAsia="zh-CN"/>
        </w:rPr>
        <w:t>、</w:t>
      </w:r>
      <w:r>
        <w:rPr>
          <w:rFonts w:hint="eastAsia" w:ascii="Times New Roman" w:hAnsi="Times New Roman" w:eastAsia="黑体" w:cs="Times New Roman"/>
          <w:highlight w:val="none"/>
          <w:lang w:eastAsia="zh-CN"/>
        </w:rPr>
        <w:t>调剂</w:t>
      </w:r>
      <w:r>
        <w:rPr>
          <w:rFonts w:ascii="Times New Roman" w:hAnsi="Times New Roman" w:eastAsia="黑体" w:cs="Times New Roman"/>
          <w:highlight w:val="none"/>
          <w:lang w:eastAsia="zh-CN"/>
        </w:rPr>
        <w:t>复试方式、时间和内容</w:t>
      </w:r>
    </w:p>
    <w:p w14:paraId="33FB0F25">
      <w:pPr>
        <w:widowControl/>
        <w:snapToGrid w:val="0"/>
        <w:spacing w:line="360" w:lineRule="auto"/>
        <w:ind w:firstLine="645"/>
        <w:rPr>
          <w:rFonts w:ascii="Times New Roman" w:hAnsi="Times New Roman" w:eastAsia="仿宋_GB2312" w:cs="Times New Roman"/>
          <w:color w:val="000000" w:themeColor="text1"/>
          <w:sz w:val="32"/>
          <w:szCs w:val="32"/>
          <w:highlight w:val="none"/>
          <w14:textFill>
            <w14:solidFill>
              <w14:schemeClr w14:val="tx1"/>
            </w14:solidFill>
          </w14:textFill>
        </w:rPr>
      </w:pPr>
      <w:r>
        <w:rPr>
          <w:rFonts w:ascii="Times New Roman" w:hAnsi="Times New Roman" w:eastAsia="仿宋_GB2312" w:cs="Times New Roman"/>
          <w:color w:val="000000" w:themeColor="text1"/>
          <w:sz w:val="32"/>
          <w:szCs w:val="32"/>
          <w:highlight w:val="none"/>
          <w14:textFill>
            <w14:solidFill>
              <w14:schemeClr w14:val="tx1"/>
            </w14:solidFill>
          </w14:textFill>
        </w:rPr>
        <w:t>我</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院</w:t>
      </w:r>
      <w:r>
        <w:rPr>
          <w:rFonts w:ascii="Times New Roman" w:hAnsi="Times New Roman" w:eastAsia="仿宋_GB2312" w:cs="Times New Roman"/>
          <w:color w:val="000000" w:themeColor="text1"/>
          <w:sz w:val="32"/>
          <w:szCs w:val="32"/>
          <w:highlight w:val="none"/>
          <w14:textFill>
            <w14:solidFill>
              <w14:schemeClr w14:val="tx1"/>
            </w14:solidFill>
          </w14:textFill>
        </w:rPr>
        <w:t>202</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6</w:t>
      </w:r>
      <w:r>
        <w:rPr>
          <w:rFonts w:ascii="Times New Roman" w:hAnsi="Times New Roman" w:eastAsia="仿宋_GB2312" w:cs="Times New Roman"/>
          <w:color w:val="000000" w:themeColor="text1"/>
          <w:sz w:val="32"/>
          <w:szCs w:val="32"/>
          <w:highlight w:val="none"/>
          <w14:textFill>
            <w14:solidFill>
              <w14:schemeClr w14:val="tx1"/>
            </w14:solidFill>
          </w14:textFill>
        </w:rPr>
        <w:t>年硕士研究生招生调剂考生复试</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采取远程网络方式，调剂考生复试于4月8日正式开始，4月28日前完成。学院</w:t>
      </w:r>
      <w:r>
        <w:rPr>
          <w:rFonts w:ascii="Times New Roman" w:hAnsi="Times New Roman" w:eastAsia="仿宋_GB2312" w:cs="Times New Roman"/>
          <w:color w:val="000000" w:themeColor="text1"/>
          <w:sz w:val="32"/>
          <w:szCs w:val="32"/>
          <w:highlight w:val="none"/>
          <w14:textFill>
            <w14:solidFill>
              <w14:schemeClr w14:val="tx1"/>
            </w14:solidFill>
          </w14:textFill>
        </w:rPr>
        <w:t>根据“全国硕士生招生调剂服务系统”调剂模块开通时间统一设定调剂系统开放时间、调剂志愿锁定时间。每次开放持续时间不低于12个小时，调剂志愿锁定时间最长不超过36小时。</w:t>
      </w:r>
    </w:p>
    <w:p w14:paraId="2A2083FE">
      <w:pPr>
        <w:pStyle w:val="3"/>
        <w:snapToGrid w:val="0"/>
        <w:spacing w:before="0" w:line="360" w:lineRule="auto"/>
        <w:ind w:left="0" w:right="117" w:firstLine="640"/>
        <w:jc w:val="both"/>
        <w:rPr>
          <w:rFonts w:ascii="Times New Roman" w:hAnsi="Times New Roman" w:eastAsia="仿宋_GB2312" w:cs="Times New Roman"/>
          <w:color w:val="000000" w:themeColor="text1"/>
          <w:highlight w:val="none"/>
          <w:lang w:eastAsia="zh-CN"/>
          <w14:textFill>
            <w14:solidFill>
              <w14:schemeClr w14:val="tx1"/>
            </w14:solidFill>
          </w14:textFill>
        </w:rPr>
      </w:pPr>
      <w:r>
        <w:rPr>
          <w:rFonts w:hint="eastAsia" w:ascii="Times New Roman" w:hAnsi="Times New Roman" w:eastAsia="仿宋_GB2312" w:cs="Times New Roman"/>
          <w:highlight w:val="none"/>
          <w:lang w:eastAsia="zh-CN"/>
        </w:rPr>
        <w:t>调剂复试内容详见</w:t>
      </w:r>
      <w:r>
        <w:rPr>
          <w:rFonts w:hint="eastAsia" w:ascii="Times New Roman" w:hAnsi="Times New Roman" w:eastAsia="仿宋_GB2312" w:cs="Times New Roman"/>
          <w:color w:val="000000" w:themeColor="text1"/>
          <w:highlight w:val="none"/>
          <w:lang w:eastAsia="zh-CN"/>
          <w14:textFill>
            <w14:solidFill>
              <w14:schemeClr w14:val="tx1"/>
            </w14:solidFill>
          </w14:textFill>
        </w:rPr>
        <w:t>《上海商学院商务经济学院202</w:t>
      </w:r>
      <w:r>
        <w:rPr>
          <w:rFonts w:hint="eastAsia" w:ascii="Times New Roman" w:hAnsi="Times New Roman" w:eastAsia="仿宋_GB2312" w:cs="Times New Roman"/>
          <w:color w:val="000000" w:themeColor="text1"/>
          <w:highlight w:val="none"/>
          <w:lang w:val="en-US" w:eastAsia="zh-CN"/>
          <w14:textFill>
            <w14:solidFill>
              <w14:schemeClr w14:val="tx1"/>
            </w14:solidFill>
          </w14:textFill>
        </w:rPr>
        <w:t>6</w:t>
      </w:r>
      <w:r>
        <w:rPr>
          <w:rFonts w:hint="eastAsia" w:ascii="Times New Roman" w:hAnsi="Times New Roman" w:eastAsia="仿宋_GB2312" w:cs="Times New Roman"/>
          <w:color w:val="000000" w:themeColor="text1"/>
          <w:highlight w:val="none"/>
          <w:lang w:eastAsia="zh-CN"/>
          <w14:textFill>
            <w14:solidFill>
              <w14:schemeClr w14:val="tx1"/>
            </w14:solidFill>
          </w14:textFill>
        </w:rPr>
        <w:t>年硕士研究生招生复试实施细则》</w:t>
      </w:r>
    </w:p>
    <w:p w14:paraId="2E0E1329">
      <w:pPr>
        <w:widowControl/>
        <w:shd w:val="clear" w:color="auto" w:fill="FFFFFF"/>
        <w:spacing w:line="450" w:lineRule="atLeast"/>
        <w:jc w:val="center"/>
        <w:rPr>
          <w:rFonts w:ascii="微软雅黑" w:hAnsi="微软雅黑" w:eastAsia="微软雅黑" w:cs="宋体"/>
          <w:color w:val="666666"/>
          <w:kern w:val="0"/>
          <w:szCs w:val="21"/>
          <w:highlight w:val="none"/>
        </w:rPr>
      </w:pPr>
      <w:bookmarkStart w:id="1" w:name="_Hlk193127129"/>
      <w:r>
        <w:rPr>
          <w:rFonts w:hint="eastAsia" w:ascii="仿宋_GB2312" w:hAnsi="微软雅黑" w:eastAsia="仿宋_GB2312" w:cs="宋体"/>
          <w:color w:val="000000"/>
          <w:kern w:val="0"/>
          <w:sz w:val="29"/>
          <w:szCs w:val="29"/>
          <w:highlight w:val="none"/>
        </w:rPr>
        <w:t>复试科目、同等学力加试科目及参考书目</w:t>
      </w:r>
    </w:p>
    <w:tbl>
      <w:tblPr>
        <w:tblStyle w:val="7"/>
        <w:tblW w:w="0" w:type="auto"/>
        <w:jc w:val="center"/>
        <w:tblLayout w:type="autofit"/>
        <w:tblCellMar>
          <w:top w:w="0" w:type="dxa"/>
          <w:left w:w="0" w:type="dxa"/>
          <w:bottom w:w="0" w:type="dxa"/>
          <w:right w:w="0" w:type="dxa"/>
        </w:tblCellMar>
      </w:tblPr>
      <w:tblGrid>
        <w:gridCol w:w="830"/>
        <w:gridCol w:w="797"/>
        <w:gridCol w:w="1202"/>
        <w:gridCol w:w="925"/>
        <w:gridCol w:w="3814"/>
        <w:gridCol w:w="791"/>
      </w:tblGrid>
      <w:tr w14:paraId="744C6FF1">
        <w:tblPrEx>
          <w:tblCellMar>
            <w:top w:w="0" w:type="dxa"/>
            <w:left w:w="0" w:type="dxa"/>
            <w:bottom w:w="0" w:type="dxa"/>
            <w:right w:w="0" w:type="dxa"/>
          </w:tblCellMar>
        </w:tblPrEx>
        <w:trPr>
          <w:jc w:val="center"/>
        </w:trPr>
        <w:tc>
          <w:tcPr>
            <w:tcW w:w="830"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4EA6BA28">
            <w:pPr>
              <w:widowControl/>
              <w:adjustRightInd w:val="0"/>
              <w:snapToGrid w:val="0"/>
              <w:jc w:val="center"/>
              <w:rPr>
                <w:rFonts w:ascii="仿宋_GB2312" w:hAnsi="宋体" w:eastAsia="仿宋_GB2312" w:cs="宋体"/>
                <w:color w:val="000000"/>
                <w:kern w:val="0"/>
                <w:szCs w:val="24"/>
                <w:highlight w:val="none"/>
              </w:rPr>
            </w:pPr>
            <w:r>
              <w:rPr>
                <w:rFonts w:hint="eastAsia" w:ascii="仿宋_GB2312" w:hAnsi="宋体" w:eastAsia="仿宋_GB2312" w:cs="宋体"/>
                <w:color w:val="000000"/>
                <w:kern w:val="0"/>
                <w:szCs w:val="24"/>
                <w:highlight w:val="none"/>
              </w:rPr>
              <w:t>专业</w:t>
            </w:r>
          </w:p>
          <w:p w14:paraId="41D73A92">
            <w:pPr>
              <w:widowControl/>
              <w:adjustRightInd w:val="0"/>
              <w:snapToGrid w:val="0"/>
              <w:jc w:val="center"/>
              <w:rPr>
                <w:rFonts w:ascii="宋体" w:hAnsi="宋体" w:eastAsia="宋体" w:cs="宋体"/>
                <w:color w:val="666666"/>
                <w:kern w:val="0"/>
                <w:szCs w:val="21"/>
                <w:highlight w:val="none"/>
              </w:rPr>
            </w:pPr>
            <w:r>
              <w:rPr>
                <w:rFonts w:hint="eastAsia" w:ascii="仿宋_GB2312" w:hAnsi="宋体" w:eastAsia="仿宋_GB2312" w:cs="宋体"/>
                <w:color w:val="000000"/>
                <w:kern w:val="0"/>
                <w:szCs w:val="24"/>
                <w:highlight w:val="none"/>
              </w:rPr>
              <w:t>代码</w:t>
            </w:r>
          </w:p>
        </w:tc>
        <w:tc>
          <w:tcPr>
            <w:tcW w:w="797"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1F86E806">
            <w:pPr>
              <w:widowControl/>
              <w:adjustRightInd w:val="0"/>
              <w:snapToGrid w:val="0"/>
              <w:jc w:val="center"/>
              <w:rPr>
                <w:rFonts w:ascii="仿宋_GB2312" w:hAnsi="宋体" w:eastAsia="仿宋_GB2312" w:cs="宋体"/>
                <w:color w:val="000000"/>
                <w:kern w:val="0"/>
                <w:szCs w:val="24"/>
                <w:highlight w:val="none"/>
              </w:rPr>
            </w:pPr>
            <w:r>
              <w:rPr>
                <w:rFonts w:hint="eastAsia" w:ascii="仿宋_GB2312" w:hAnsi="宋体" w:eastAsia="仿宋_GB2312" w:cs="宋体"/>
                <w:color w:val="000000"/>
                <w:kern w:val="0"/>
                <w:szCs w:val="24"/>
                <w:highlight w:val="none"/>
              </w:rPr>
              <w:t>专业</w:t>
            </w:r>
          </w:p>
          <w:p w14:paraId="4F5BF4FE">
            <w:pPr>
              <w:widowControl/>
              <w:adjustRightInd w:val="0"/>
              <w:snapToGrid w:val="0"/>
              <w:jc w:val="center"/>
              <w:rPr>
                <w:rFonts w:ascii="宋体" w:hAnsi="宋体" w:eastAsia="宋体" w:cs="宋体"/>
                <w:color w:val="666666"/>
                <w:kern w:val="0"/>
                <w:szCs w:val="21"/>
                <w:highlight w:val="none"/>
              </w:rPr>
            </w:pPr>
            <w:r>
              <w:rPr>
                <w:rFonts w:hint="eastAsia" w:ascii="仿宋_GB2312" w:hAnsi="宋体" w:eastAsia="仿宋_GB2312" w:cs="宋体"/>
                <w:color w:val="000000"/>
                <w:kern w:val="0"/>
                <w:szCs w:val="24"/>
                <w:highlight w:val="none"/>
              </w:rPr>
              <w:t>名称</w:t>
            </w:r>
          </w:p>
        </w:tc>
        <w:tc>
          <w:tcPr>
            <w:tcW w:w="1202"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4628A110">
            <w:pPr>
              <w:widowControl/>
              <w:adjustRightInd w:val="0"/>
              <w:snapToGrid w:val="0"/>
              <w:jc w:val="center"/>
              <w:rPr>
                <w:rFonts w:ascii="仿宋_GB2312" w:hAnsi="宋体" w:eastAsia="仿宋_GB2312" w:cs="宋体"/>
                <w:color w:val="000000"/>
                <w:kern w:val="0"/>
                <w:szCs w:val="24"/>
                <w:highlight w:val="none"/>
              </w:rPr>
            </w:pPr>
            <w:r>
              <w:rPr>
                <w:rFonts w:hint="eastAsia" w:ascii="仿宋_GB2312" w:hAnsi="宋体" w:eastAsia="仿宋_GB2312" w:cs="宋体"/>
                <w:color w:val="000000"/>
                <w:kern w:val="0"/>
                <w:szCs w:val="24"/>
                <w:highlight w:val="none"/>
              </w:rPr>
              <w:t>研究</w:t>
            </w:r>
          </w:p>
          <w:p w14:paraId="65962737">
            <w:pPr>
              <w:widowControl/>
              <w:adjustRightInd w:val="0"/>
              <w:snapToGrid w:val="0"/>
              <w:jc w:val="center"/>
              <w:rPr>
                <w:rFonts w:ascii="宋体" w:hAnsi="宋体" w:eastAsia="宋体" w:cs="宋体"/>
                <w:color w:val="666666"/>
                <w:kern w:val="0"/>
                <w:szCs w:val="21"/>
                <w:highlight w:val="none"/>
              </w:rPr>
            </w:pPr>
            <w:r>
              <w:rPr>
                <w:rFonts w:hint="eastAsia" w:ascii="仿宋_GB2312" w:hAnsi="宋体" w:eastAsia="仿宋_GB2312" w:cs="宋体"/>
                <w:color w:val="000000"/>
                <w:kern w:val="0"/>
                <w:szCs w:val="24"/>
                <w:highlight w:val="none"/>
              </w:rPr>
              <w:t>方向</w:t>
            </w:r>
          </w:p>
        </w:tc>
        <w:tc>
          <w:tcPr>
            <w:tcW w:w="925"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7193FF62">
            <w:pPr>
              <w:widowControl/>
              <w:adjustRightInd w:val="0"/>
              <w:snapToGrid w:val="0"/>
              <w:jc w:val="center"/>
              <w:rPr>
                <w:rFonts w:ascii="仿宋_GB2312" w:hAnsi="宋体" w:eastAsia="仿宋_GB2312" w:cs="宋体"/>
                <w:color w:val="000000"/>
                <w:kern w:val="0"/>
                <w:szCs w:val="24"/>
                <w:highlight w:val="none"/>
              </w:rPr>
            </w:pPr>
            <w:r>
              <w:rPr>
                <w:rFonts w:hint="eastAsia" w:ascii="仿宋_GB2312" w:hAnsi="宋体" w:eastAsia="仿宋_GB2312" w:cs="宋体"/>
                <w:color w:val="000000"/>
                <w:kern w:val="0"/>
                <w:szCs w:val="24"/>
                <w:highlight w:val="none"/>
              </w:rPr>
              <w:t>复试</w:t>
            </w:r>
          </w:p>
          <w:p w14:paraId="2BC12595">
            <w:pPr>
              <w:widowControl/>
              <w:adjustRightInd w:val="0"/>
              <w:snapToGrid w:val="0"/>
              <w:jc w:val="center"/>
              <w:rPr>
                <w:rFonts w:ascii="宋体" w:hAnsi="宋体" w:eastAsia="宋体" w:cs="宋体"/>
                <w:color w:val="666666"/>
                <w:kern w:val="0"/>
                <w:szCs w:val="21"/>
                <w:highlight w:val="none"/>
              </w:rPr>
            </w:pPr>
            <w:r>
              <w:rPr>
                <w:rFonts w:hint="eastAsia" w:ascii="仿宋_GB2312" w:hAnsi="宋体" w:eastAsia="仿宋_GB2312" w:cs="宋体"/>
                <w:color w:val="000000"/>
                <w:kern w:val="0"/>
                <w:szCs w:val="24"/>
                <w:highlight w:val="none"/>
              </w:rPr>
              <w:t>科目</w:t>
            </w:r>
          </w:p>
        </w:tc>
        <w:tc>
          <w:tcPr>
            <w:tcW w:w="3814"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713ABDB2">
            <w:pPr>
              <w:widowControl/>
              <w:adjustRightInd w:val="0"/>
              <w:snapToGrid w:val="0"/>
              <w:jc w:val="center"/>
              <w:rPr>
                <w:rFonts w:ascii="仿宋_GB2312" w:hAnsi="宋体" w:eastAsia="仿宋_GB2312" w:cs="宋体"/>
                <w:color w:val="000000"/>
                <w:kern w:val="0"/>
                <w:szCs w:val="24"/>
                <w:highlight w:val="none"/>
              </w:rPr>
            </w:pPr>
            <w:r>
              <w:rPr>
                <w:rFonts w:hint="eastAsia" w:ascii="仿宋_GB2312" w:hAnsi="宋体" w:eastAsia="仿宋_GB2312" w:cs="宋体"/>
                <w:color w:val="000000"/>
                <w:kern w:val="0"/>
                <w:szCs w:val="24"/>
                <w:highlight w:val="none"/>
              </w:rPr>
              <w:t>参考</w:t>
            </w:r>
          </w:p>
          <w:p w14:paraId="1B6CD205">
            <w:pPr>
              <w:widowControl/>
              <w:adjustRightInd w:val="0"/>
              <w:snapToGrid w:val="0"/>
              <w:jc w:val="center"/>
              <w:rPr>
                <w:rFonts w:ascii="宋体" w:hAnsi="宋体" w:eastAsia="宋体" w:cs="宋体"/>
                <w:color w:val="666666"/>
                <w:kern w:val="0"/>
                <w:szCs w:val="21"/>
                <w:highlight w:val="none"/>
              </w:rPr>
            </w:pPr>
            <w:r>
              <w:rPr>
                <w:rFonts w:hint="eastAsia" w:ascii="仿宋_GB2312" w:hAnsi="宋体" w:eastAsia="仿宋_GB2312" w:cs="宋体"/>
                <w:color w:val="000000"/>
                <w:kern w:val="0"/>
                <w:szCs w:val="24"/>
                <w:highlight w:val="none"/>
              </w:rPr>
              <w:t>书目</w:t>
            </w:r>
          </w:p>
        </w:tc>
        <w:tc>
          <w:tcPr>
            <w:tcW w:w="791" w:type="dxa"/>
            <w:tcBorders>
              <w:top w:val="single" w:color="000000" w:sz="6" w:space="0"/>
              <w:left w:val="single" w:color="000000" w:sz="6" w:space="0"/>
              <w:bottom w:val="single" w:color="000000" w:sz="6" w:space="0"/>
              <w:right w:val="single" w:color="000000" w:sz="6" w:space="0"/>
            </w:tcBorders>
          </w:tcPr>
          <w:p w14:paraId="46CD42CF">
            <w:pPr>
              <w:widowControl/>
              <w:adjustRightInd w:val="0"/>
              <w:snapToGrid w:val="0"/>
              <w:jc w:val="center"/>
              <w:rPr>
                <w:rFonts w:ascii="仿宋_GB2312" w:hAnsi="宋体" w:eastAsia="仿宋_GB2312" w:cs="宋体"/>
                <w:color w:val="000000"/>
                <w:kern w:val="0"/>
                <w:szCs w:val="24"/>
                <w:highlight w:val="none"/>
              </w:rPr>
            </w:pPr>
            <w:r>
              <w:rPr>
                <w:rFonts w:hint="eastAsia" w:ascii="仿宋_GB2312" w:hAnsi="宋体" w:eastAsia="仿宋_GB2312" w:cs="宋体"/>
                <w:color w:val="000000"/>
                <w:kern w:val="0"/>
                <w:szCs w:val="24"/>
                <w:highlight w:val="none"/>
              </w:rPr>
              <w:t>同等</w:t>
            </w:r>
          </w:p>
          <w:p w14:paraId="2B488440">
            <w:pPr>
              <w:widowControl/>
              <w:adjustRightInd w:val="0"/>
              <w:snapToGrid w:val="0"/>
              <w:jc w:val="center"/>
              <w:rPr>
                <w:rFonts w:ascii="仿宋_GB2312" w:hAnsi="宋体" w:eastAsia="仿宋_GB2312" w:cs="宋体"/>
                <w:color w:val="000000"/>
                <w:kern w:val="0"/>
                <w:szCs w:val="24"/>
                <w:highlight w:val="none"/>
              </w:rPr>
            </w:pPr>
            <w:r>
              <w:rPr>
                <w:rFonts w:hint="eastAsia" w:ascii="仿宋_GB2312" w:hAnsi="宋体" w:eastAsia="仿宋_GB2312" w:cs="宋体"/>
                <w:color w:val="000000"/>
                <w:kern w:val="0"/>
                <w:szCs w:val="24"/>
                <w:highlight w:val="none"/>
              </w:rPr>
              <w:t>学力</w:t>
            </w:r>
          </w:p>
        </w:tc>
      </w:tr>
      <w:tr w14:paraId="5034CE95">
        <w:tblPrEx>
          <w:tblCellMar>
            <w:top w:w="0" w:type="dxa"/>
            <w:left w:w="0" w:type="dxa"/>
            <w:bottom w:w="0" w:type="dxa"/>
            <w:right w:w="0" w:type="dxa"/>
          </w:tblCellMar>
        </w:tblPrEx>
        <w:trPr>
          <w:jc w:val="center"/>
        </w:trPr>
        <w:tc>
          <w:tcPr>
            <w:tcW w:w="830"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5CE3B28D">
            <w:pPr>
              <w:widowControl/>
              <w:adjustRightInd w:val="0"/>
              <w:snapToGrid w:val="0"/>
              <w:jc w:val="center"/>
              <w:rPr>
                <w:rFonts w:ascii="仿宋_GB2312" w:hAnsi="宋体" w:eastAsia="仿宋_GB2312" w:cs="宋体"/>
                <w:color w:val="000000"/>
                <w:kern w:val="0"/>
                <w:szCs w:val="24"/>
                <w:highlight w:val="none"/>
              </w:rPr>
            </w:pPr>
            <w:r>
              <w:rPr>
                <w:rFonts w:hint="eastAsia" w:ascii="仿宋_GB2312" w:hAnsi="宋体" w:eastAsia="仿宋_GB2312" w:cs="宋体"/>
                <w:color w:val="000000"/>
                <w:kern w:val="0"/>
                <w:szCs w:val="24"/>
                <w:highlight w:val="none"/>
              </w:rPr>
              <w:t>0</w:t>
            </w:r>
            <w:r>
              <w:rPr>
                <w:rFonts w:ascii="仿宋_GB2312" w:hAnsi="宋体" w:eastAsia="仿宋_GB2312" w:cs="宋体"/>
                <w:color w:val="000000"/>
                <w:kern w:val="0"/>
                <w:szCs w:val="24"/>
                <w:highlight w:val="none"/>
              </w:rPr>
              <w:t>25100</w:t>
            </w:r>
          </w:p>
        </w:tc>
        <w:tc>
          <w:tcPr>
            <w:tcW w:w="797"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6EC9CFBA">
            <w:pPr>
              <w:widowControl/>
              <w:adjustRightInd w:val="0"/>
              <w:snapToGrid w:val="0"/>
              <w:jc w:val="center"/>
              <w:rPr>
                <w:rFonts w:ascii="仿宋_GB2312" w:hAnsi="宋体" w:eastAsia="仿宋_GB2312" w:cs="宋体"/>
                <w:color w:val="000000"/>
                <w:kern w:val="0"/>
                <w:szCs w:val="24"/>
                <w:highlight w:val="none"/>
              </w:rPr>
            </w:pPr>
            <w:r>
              <w:rPr>
                <w:rFonts w:hint="eastAsia" w:ascii="仿宋_GB2312" w:hAnsi="宋体" w:eastAsia="仿宋_GB2312" w:cs="宋体"/>
                <w:color w:val="000000"/>
                <w:kern w:val="0"/>
                <w:szCs w:val="24"/>
                <w:highlight w:val="none"/>
              </w:rPr>
              <w:t>金融</w:t>
            </w:r>
          </w:p>
        </w:tc>
        <w:tc>
          <w:tcPr>
            <w:tcW w:w="1202"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78AEEC4A">
            <w:pPr>
              <w:widowControl/>
              <w:adjustRightInd w:val="0"/>
              <w:snapToGrid w:val="0"/>
              <w:jc w:val="center"/>
              <w:rPr>
                <w:rFonts w:ascii="仿宋_GB2312" w:hAnsi="宋体" w:eastAsia="仿宋_GB2312" w:cs="宋体"/>
                <w:color w:val="000000"/>
                <w:kern w:val="0"/>
                <w:szCs w:val="24"/>
                <w:highlight w:val="none"/>
              </w:rPr>
            </w:pPr>
            <w:r>
              <w:rPr>
                <w:rFonts w:hint="eastAsia" w:ascii="仿宋_GB2312" w:hAnsi="宋体" w:eastAsia="仿宋_GB2312" w:cs="宋体"/>
                <w:color w:val="000000"/>
                <w:kern w:val="0"/>
                <w:szCs w:val="24"/>
                <w:highlight w:val="none"/>
              </w:rPr>
              <w:t>（全日制）00不区分研究方向</w:t>
            </w:r>
          </w:p>
        </w:tc>
        <w:tc>
          <w:tcPr>
            <w:tcW w:w="925"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7C330578">
            <w:pPr>
              <w:widowControl/>
              <w:adjustRightInd w:val="0"/>
              <w:snapToGrid w:val="0"/>
              <w:jc w:val="left"/>
              <w:rPr>
                <w:rFonts w:ascii="仿宋_GB2312" w:hAnsi="宋体" w:eastAsia="仿宋_GB2312" w:cs="宋体"/>
                <w:color w:val="000000"/>
                <w:kern w:val="0"/>
                <w:szCs w:val="24"/>
                <w:highlight w:val="none"/>
              </w:rPr>
            </w:pPr>
            <w:r>
              <w:rPr>
                <w:rFonts w:hint="eastAsia" w:ascii="仿宋_GB2312" w:hAnsi="宋体" w:eastAsia="仿宋_GB2312" w:cs="宋体"/>
                <w:color w:val="000000"/>
                <w:kern w:val="0"/>
                <w:szCs w:val="24"/>
                <w:highlight w:val="none"/>
              </w:rPr>
              <w:t>1.专业综合能力</w:t>
            </w:r>
          </w:p>
          <w:p w14:paraId="3E524551">
            <w:pPr>
              <w:widowControl/>
              <w:adjustRightInd w:val="0"/>
              <w:snapToGrid w:val="0"/>
              <w:jc w:val="left"/>
              <w:rPr>
                <w:rFonts w:ascii="仿宋_GB2312" w:hAnsi="宋体" w:eastAsia="仿宋_GB2312" w:cs="宋体"/>
                <w:color w:val="000000"/>
                <w:kern w:val="0"/>
                <w:szCs w:val="24"/>
                <w:highlight w:val="none"/>
              </w:rPr>
            </w:pPr>
            <w:r>
              <w:rPr>
                <w:rFonts w:hint="eastAsia" w:ascii="仿宋_GB2312" w:hAnsi="宋体" w:eastAsia="仿宋_GB2312" w:cs="宋体"/>
                <w:color w:val="000000"/>
                <w:kern w:val="0"/>
                <w:szCs w:val="24"/>
                <w:highlight w:val="none"/>
              </w:rPr>
              <w:t>2.英语口语与听力</w:t>
            </w:r>
          </w:p>
        </w:tc>
        <w:tc>
          <w:tcPr>
            <w:tcW w:w="3814"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vAlign w:val="center"/>
          </w:tcPr>
          <w:p w14:paraId="4B86D8F2">
            <w:pPr>
              <w:widowControl/>
              <w:adjustRightInd w:val="0"/>
              <w:snapToGrid w:val="0"/>
              <w:jc w:val="center"/>
              <w:rPr>
                <w:rFonts w:ascii="仿宋_GB2312" w:hAnsi="宋体" w:eastAsia="仿宋_GB2312" w:cs="宋体"/>
                <w:color w:val="000000"/>
                <w:kern w:val="0"/>
                <w:szCs w:val="24"/>
                <w:highlight w:val="none"/>
              </w:rPr>
            </w:pPr>
            <w:r>
              <w:rPr>
                <w:rFonts w:hint="eastAsia" w:ascii="仿宋_GB2312" w:hAnsi="宋体" w:eastAsia="仿宋_GB2312" w:cs="宋体"/>
                <w:color w:val="000000"/>
                <w:kern w:val="0"/>
                <w:szCs w:val="24"/>
                <w:highlight w:val="none"/>
              </w:rPr>
              <w:t>1.《金融学》第六版黄达 张杰，中国人民大学出版社，2024</w:t>
            </w:r>
            <w:r>
              <w:rPr>
                <w:rFonts w:hint="eastAsia" w:ascii="仿宋_GB2312" w:hAnsi="宋体" w:eastAsia="仿宋_GB2312" w:cs="宋体"/>
                <w:color w:val="000000"/>
                <w:kern w:val="0"/>
                <w:szCs w:val="24"/>
                <w:highlight w:val="none"/>
                <w:lang w:val="en-US" w:eastAsia="zh-CN"/>
              </w:rPr>
              <w:t>年3月</w:t>
            </w:r>
            <w:r>
              <w:rPr>
                <w:rFonts w:hint="eastAsia" w:ascii="仿宋_GB2312" w:hAnsi="宋体" w:eastAsia="仿宋_GB2312" w:cs="宋体"/>
                <w:color w:val="000000"/>
                <w:kern w:val="0"/>
                <w:szCs w:val="24"/>
                <w:highlight w:val="none"/>
              </w:rPr>
              <w:t>；</w:t>
            </w:r>
          </w:p>
          <w:p w14:paraId="1F58B6FA">
            <w:pPr>
              <w:widowControl/>
              <w:adjustRightInd w:val="0"/>
              <w:snapToGrid w:val="0"/>
              <w:jc w:val="center"/>
              <w:rPr>
                <w:rFonts w:ascii="仿宋_GB2312" w:hAnsi="宋体" w:eastAsia="仿宋_GB2312" w:cs="宋体"/>
                <w:color w:val="000000"/>
                <w:kern w:val="0"/>
                <w:szCs w:val="24"/>
                <w:highlight w:val="none"/>
              </w:rPr>
            </w:pPr>
            <w:r>
              <w:rPr>
                <w:rFonts w:hint="eastAsia" w:ascii="仿宋_GB2312" w:hAnsi="宋体" w:eastAsia="仿宋_GB2312" w:cs="宋体"/>
                <w:color w:val="000000"/>
                <w:kern w:val="0"/>
                <w:szCs w:val="24"/>
                <w:highlight w:val="none"/>
              </w:rPr>
              <w:t>2.《公司理财》第十三版斯蒂芬 A. 罗斯，机械工业出版社，2024</w:t>
            </w:r>
            <w:r>
              <w:rPr>
                <w:rFonts w:hint="eastAsia" w:ascii="仿宋_GB2312" w:hAnsi="宋体" w:eastAsia="仿宋_GB2312" w:cs="宋体"/>
                <w:color w:val="000000"/>
                <w:kern w:val="0"/>
                <w:szCs w:val="24"/>
                <w:highlight w:val="none"/>
                <w:lang w:val="en-US" w:eastAsia="zh-CN"/>
              </w:rPr>
              <w:t>年1月</w:t>
            </w:r>
            <w:r>
              <w:rPr>
                <w:rFonts w:hint="eastAsia" w:ascii="仿宋_GB2312" w:hAnsi="宋体" w:eastAsia="仿宋_GB2312" w:cs="宋体"/>
                <w:color w:val="000000"/>
                <w:kern w:val="0"/>
                <w:szCs w:val="24"/>
                <w:highlight w:val="none"/>
              </w:rPr>
              <w:t>；</w:t>
            </w:r>
          </w:p>
        </w:tc>
        <w:tc>
          <w:tcPr>
            <w:tcW w:w="791" w:type="dxa"/>
            <w:tcBorders>
              <w:top w:val="single" w:color="000000" w:sz="6" w:space="0"/>
              <w:left w:val="single" w:color="000000" w:sz="6" w:space="0"/>
              <w:bottom w:val="single" w:color="000000" w:sz="6" w:space="0"/>
              <w:right w:val="single" w:color="000000" w:sz="6" w:space="0"/>
            </w:tcBorders>
            <w:vAlign w:val="center"/>
          </w:tcPr>
          <w:p w14:paraId="2F695F2B">
            <w:pPr>
              <w:widowControl/>
              <w:spacing w:line="450" w:lineRule="atLeast"/>
              <w:jc w:val="center"/>
              <w:rPr>
                <w:rFonts w:ascii="仿宋_GB2312" w:hAnsi="宋体" w:eastAsia="仿宋_GB2312" w:cs="宋体"/>
                <w:color w:val="000000"/>
                <w:kern w:val="0"/>
                <w:szCs w:val="24"/>
                <w:highlight w:val="none"/>
              </w:rPr>
            </w:pPr>
            <w:r>
              <w:rPr>
                <w:rFonts w:hint="eastAsia" w:ascii="仿宋_GB2312" w:hAnsi="宋体" w:eastAsia="仿宋_GB2312" w:cs="宋体"/>
                <w:color w:val="000000"/>
                <w:kern w:val="0"/>
                <w:szCs w:val="24"/>
                <w:highlight w:val="none"/>
              </w:rPr>
              <w:t>不招收同等学力考生</w:t>
            </w:r>
          </w:p>
        </w:tc>
      </w:tr>
      <w:tr w14:paraId="5F3BA19A">
        <w:tblPrEx>
          <w:tblCellMar>
            <w:top w:w="0" w:type="dxa"/>
            <w:left w:w="0" w:type="dxa"/>
            <w:bottom w:w="0" w:type="dxa"/>
            <w:right w:w="0" w:type="dxa"/>
          </w:tblCellMar>
        </w:tblPrEx>
        <w:trPr>
          <w:jc w:val="center"/>
        </w:trPr>
        <w:tc>
          <w:tcPr>
            <w:tcW w:w="830"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59659D1F">
            <w:pPr>
              <w:widowControl/>
              <w:adjustRightInd w:val="0"/>
              <w:snapToGrid w:val="0"/>
              <w:jc w:val="center"/>
              <w:rPr>
                <w:rFonts w:hint="eastAsia" w:ascii="仿宋_GB2312" w:hAnsi="宋体" w:eastAsia="仿宋_GB2312" w:cs="宋体"/>
                <w:color w:val="000000"/>
                <w:kern w:val="0"/>
                <w:sz w:val="21"/>
                <w:szCs w:val="24"/>
                <w:lang w:val="en-US" w:eastAsia="zh-CN" w:bidi="ar-SA"/>
              </w:rPr>
            </w:pPr>
            <w:r>
              <w:rPr>
                <w:rFonts w:hint="eastAsia" w:ascii="仿宋_GB2312" w:hAnsi="宋体" w:eastAsia="仿宋_GB2312" w:cs="宋体"/>
                <w:color w:val="000000"/>
                <w:kern w:val="0"/>
                <w:szCs w:val="24"/>
              </w:rPr>
              <w:t>025400</w:t>
            </w:r>
          </w:p>
        </w:tc>
        <w:tc>
          <w:tcPr>
            <w:tcW w:w="797"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248ED042">
            <w:pPr>
              <w:widowControl/>
              <w:adjustRightInd w:val="0"/>
              <w:snapToGrid w:val="0"/>
              <w:jc w:val="center"/>
              <w:rPr>
                <w:rFonts w:hint="eastAsia" w:ascii="仿宋_GB2312" w:hAnsi="宋体" w:eastAsia="仿宋_GB2312" w:cs="宋体"/>
                <w:color w:val="000000"/>
                <w:kern w:val="0"/>
                <w:sz w:val="21"/>
                <w:szCs w:val="24"/>
                <w:lang w:val="en-US" w:eastAsia="zh-CN" w:bidi="ar-SA"/>
              </w:rPr>
            </w:pPr>
            <w:r>
              <w:rPr>
                <w:rFonts w:hint="eastAsia" w:ascii="仿宋_GB2312" w:hAnsi="宋体" w:eastAsia="仿宋_GB2312" w:cs="宋体"/>
                <w:color w:val="000000"/>
                <w:kern w:val="0"/>
                <w:szCs w:val="24"/>
              </w:rPr>
              <w:t>国际商务</w:t>
            </w:r>
          </w:p>
        </w:tc>
        <w:tc>
          <w:tcPr>
            <w:tcW w:w="1202"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05A768F0">
            <w:pPr>
              <w:widowControl/>
              <w:adjustRightInd w:val="0"/>
              <w:snapToGrid w:val="0"/>
              <w:jc w:val="left"/>
              <w:rPr>
                <w:rFonts w:hint="eastAsia" w:ascii="仿宋_GB2312" w:hAnsi="宋体" w:eastAsia="仿宋_GB2312" w:cs="宋体"/>
                <w:color w:val="000000"/>
                <w:kern w:val="0"/>
                <w:sz w:val="21"/>
                <w:szCs w:val="24"/>
                <w:lang w:val="en-US" w:eastAsia="zh-CN" w:bidi="ar-SA"/>
              </w:rPr>
            </w:pPr>
            <w:r>
              <w:rPr>
                <w:rFonts w:hint="eastAsia" w:ascii="仿宋_GB2312" w:hAnsi="宋体" w:eastAsia="仿宋_GB2312" w:cs="宋体"/>
                <w:color w:val="000000"/>
                <w:kern w:val="0"/>
                <w:szCs w:val="24"/>
              </w:rPr>
              <w:t>（全日制）00不区分研究方向</w:t>
            </w:r>
          </w:p>
        </w:tc>
        <w:tc>
          <w:tcPr>
            <w:tcW w:w="925"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71CB545D">
            <w:pPr>
              <w:widowControl/>
              <w:adjustRightInd w:val="0"/>
              <w:snapToGrid w:val="0"/>
              <w:jc w:val="left"/>
              <w:rPr>
                <w:rFonts w:ascii="仿宋_GB2312" w:hAnsi="宋体" w:eastAsia="仿宋_GB2312" w:cs="宋体"/>
                <w:color w:val="000000"/>
                <w:kern w:val="0"/>
                <w:szCs w:val="24"/>
              </w:rPr>
            </w:pPr>
            <w:r>
              <w:rPr>
                <w:rFonts w:hint="eastAsia" w:ascii="仿宋_GB2312" w:hAnsi="宋体" w:eastAsia="仿宋_GB2312" w:cs="宋体"/>
                <w:color w:val="000000"/>
                <w:kern w:val="0"/>
                <w:szCs w:val="24"/>
              </w:rPr>
              <w:t>1.专业综合能力</w:t>
            </w:r>
          </w:p>
          <w:p w14:paraId="70885D3B">
            <w:pPr>
              <w:widowControl/>
              <w:adjustRightInd w:val="0"/>
              <w:snapToGrid w:val="0"/>
              <w:jc w:val="left"/>
              <w:rPr>
                <w:rFonts w:ascii="仿宋_GB2312" w:hAnsi="宋体" w:eastAsia="仿宋_GB2312" w:cs="宋体"/>
                <w:color w:val="000000"/>
                <w:kern w:val="0"/>
                <w:szCs w:val="24"/>
              </w:rPr>
            </w:pPr>
            <w:r>
              <w:rPr>
                <w:rFonts w:hint="eastAsia" w:ascii="仿宋_GB2312" w:hAnsi="宋体" w:eastAsia="仿宋_GB2312" w:cs="宋体"/>
                <w:color w:val="000000"/>
                <w:kern w:val="0"/>
                <w:szCs w:val="24"/>
              </w:rPr>
              <w:t>2.英语口语与听力</w:t>
            </w:r>
          </w:p>
          <w:p w14:paraId="2F8204E2">
            <w:pPr>
              <w:widowControl/>
              <w:adjustRightInd w:val="0"/>
              <w:snapToGrid w:val="0"/>
              <w:jc w:val="left"/>
              <w:rPr>
                <w:rFonts w:hint="eastAsia" w:ascii="仿宋_GB2312" w:hAnsi="宋体" w:eastAsia="仿宋_GB2312" w:cs="宋体"/>
                <w:color w:val="000000"/>
                <w:kern w:val="0"/>
                <w:sz w:val="21"/>
                <w:szCs w:val="24"/>
                <w:lang w:val="en-US" w:eastAsia="zh-CN" w:bidi="ar-SA"/>
              </w:rPr>
            </w:pPr>
          </w:p>
        </w:tc>
        <w:tc>
          <w:tcPr>
            <w:tcW w:w="3814" w:type="dxa"/>
            <w:tcBorders>
              <w:top w:val="single" w:color="000000" w:sz="6" w:space="0"/>
              <w:left w:val="single" w:color="000000" w:sz="6" w:space="0"/>
              <w:bottom w:val="single" w:color="000000" w:sz="6" w:space="0"/>
              <w:right w:val="single" w:color="000000" w:sz="6" w:space="0"/>
            </w:tcBorders>
            <w:shd w:val="clear" w:color="auto" w:fill="auto"/>
            <w:tcMar>
              <w:top w:w="30" w:type="dxa"/>
              <w:left w:w="45" w:type="dxa"/>
              <w:bottom w:w="30" w:type="dxa"/>
              <w:right w:w="45" w:type="dxa"/>
            </w:tcMar>
            <w:vAlign w:val="center"/>
          </w:tcPr>
          <w:p w14:paraId="54ABB9CF">
            <w:pPr>
              <w:widowControl/>
              <w:adjustRightInd w:val="0"/>
              <w:snapToGrid w:val="0"/>
              <w:jc w:val="left"/>
              <w:rPr>
                <w:rFonts w:ascii="仿宋_GB2312" w:hAnsi="宋体" w:eastAsia="仿宋_GB2312" w:cs="宋体"/>
                <w:color w:val="000000"/>
                <w:kern w:val="0"/>
                <w:szCs w:val="24"/>
              </w:rPr>
            </w:pPr>
            <w:r>
              <w:rPr>
                <w:rFonts w:hint="eastAsia" w:ascii="仿宋_GB2312" w:hAnsi="宋体" w:eastAsia="仿宋_GB2312" w:cs="宋体"/>
                <w:color w:val="000000"/>
                <w:kern w:val="0"/>
                <w:szCs w:val="24"/>
              </w:rPr>
              <w:t>1.《经济学原理》（微观、宏观经济学分册）（第8版），曼昆著，梁小民等译，北京大学出版社，2020年7月；</w:t>
            </w:r>
          </w:p>
          <w:p w14:paraId="7872287C">
            <w:pPr>
              <w:widowControl/>
              <w:adjustRightInd w:val="0"/>
              <w:snapToGrid w:val="0"/>
              <w:jc w:val="left"/>
              <w:rPr>
                <w:rFonts w:hint="eastAsia" w:ascii="仿宋_GB2312" w:hAnsi="宋体" w:eastAsia="仿宋_GB2312" w:cs="宋体"/>
                <w:color w:val="000000"/>
                <w:kern w:val="0"/>
                <w:sz w:val="21"/>
                <w:szCs w:val="24"/>
                <w:lang w:val="en-US" w:eastAsia="zh-CN" w:bidi="ar-SA"/>
              </w:rPr>
            </w:pPr>
            <w:r>
              <w:rPr>
                <w:rFonts w:hint="eastAsia" w:ascii="仿宋_GB2312" w:hAnsi="宋体" w:eastAsia="仿宋_GB2312" w:cs="宋体"/>
                <w:color w:val="000000"/>
                <w:kern w:val="0"/>
                <w:szCs w:val="24"/>
              </w:rPr>
              <w:t>2.《国际经济学：理论与政策》（第11版），克鲁格曼、奥伯斯法尔德、梅丽兹著，中国人民大学出版社，2021年1月。</w:t>
            </w:r>
          </w:p>
        </w:tc>
        <w:tc>
          <w:tcPr>
            <w:tcW w:w="79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B18DD0D">
            <w:pPr>
              <w:widowControl/>
              <w:spacing w:line="450" w:lineRule="atLeast"/>
              <w:jc w:val="center"/>
              <w:rPr>
                <w:rFonts w:hint="eastAsia" w:ascii="仿宋_GB2312" w:hAnsi="宋体" w:eastAsia="仿宋_GB2312" w:cs="宋体"/>
                <w:color w:val="000000"/>
                <w:kern w:val="0"/>
                <w:sz w:val="21"/>
                <w:szCs w:val="24"/>
                <w:lang w:val="en-US" w:eastAsia="zh-CN" w:bidi="ar-SA"/>
              </w:rPr>
            </w:pPr>
            <w:r>
              <w:rPr>
                <w:rFonts w:hint="eastAsia" w:ascii="仿宋_GB2312" w:hAnsi="宋体" w:eastAsia="仿宋_GB2312" w:cs="宋体"/>
                <w:color w:val="000000"/>
                <w:kern w:val="0"/>
                <w:szCs w:val="24"/>
              </w:rPr>
              <w:t>不招收同等学力考生</w:t>
            </w:r>
          </w:p>
        </w:tc>
      </w:tr>
      <w:bookmarkEnd w:id="1"/>
    </w:tbl>
    <w:p w14:paraId="3CA29BC3">
      <w:pPr>
        <w:pStyle w:val="3"/>
        <w:snapToGrid w:val="0"/>
        <w:spacing w:before="0" w:line="360" w:lineRule="auto"/>
        <w:ind w:right="117"/>
        <w:jc w:val="both"/>
        <w:rPr>
          <w:rFonts w:ascii="Times New Roman" w:hAnsi="Times New Roman" w:eastAsia="仿宋_GB2312" w:cs="Times New Roman"/>
          <w:color w:val="000000" w:themeColor="text1"/>
          <w:highlight w:val="none"/>
          <w:lang w:eastAsia="zh-CN"/>
          <w14:textFill>
            <w14:solidFill>
              <w14:schemeClr w14:val="tx1"/>
            </w14:solidFill>
          </w14:textFill>
        </w:rPr>
      </w:pPr>
    </w:p>
    <w:p w14:paraId="62EB38B6">
      <w:pPr>
        <w:pStyle w:val="3"/>
        <w:snapToGrid w:val="0"/>
        <w:spacing w:before="0" w:line="360" w:lineRule="auto"/>
        <w:ind w:left="0" w:right="117" w:firstLine="640" w:firstLineChars="200"/>
        <w:jc w:val="both"/>
        <w:rPr>
          <w:rFonts w:ascii="Times New Roman" w:hAnsi="Times New Roman" w:eastAsia="黑体" w:cs="Times New Roman"/>
          <w:highlight w:val="none"/>
          <w:lang w:eastAsia="zh-CN"/>
        </w:rPr>
      </w:pPr>
      <w:r>
        <w:rPr>
          <w:rFonts w:hint="eastAsia" w:ascii="Times New Roman" w:hAnsi="Times New Roman" w:eastAsia="仿宋_GB2312" w:cs="Times New Roman"/>
          <w:color w:val="000000" w:themeColor="text1"/>
          <w:highlight w:val="none"/>
          <w:lang w:eastAsia="zh-CN"/>
          <w14:textFill>
            <w14:solidFill>
              <w14:schemeClr w14:val="tx1"/>
            </w14:solidFill>
          </w14:textFill>
        </w:rPr>
        <w:t>调剂考生的复试材料提交要求、报到时间、面试时间等详见后续商务经济学院网站（</w:t>
      </w:r>
      <w:r>
        <w:rPr>
          <w:rFonts w:ascii="Times New Roman" w:hAnsi="Times New Roman" w:eastAsia="仿宋_GB2312" w:cs="Times New Roman"/>
          <w:color w:val="000000" w:themeColor="text1"/>
          <w:highlight w:val="none"/>
          <w14:textFill>
            <w14:solidFill>
              <w14:schemeClr w14:val="tx1"/>
            </w14:solidFill>
          </w14:textFill>
        </w:rPr>
        <w:t>https://swjjxy.sbs.edu.cn/</w:t>
      </w:r>
      <w:r>
        <w:rPr>
          <w:rFonts w:hint="eastAsia" w:ascii="Times New Roman" w:hAnsi="Times New Roman" w:eastAsia="仿宋_GB2312" w:cs="Times New Roman"/>
          <w:color w:val="000000" w:themeColor="text1"/>
          <w:highlight w:val="none"/>
          <w:lang w:eastAsia="zh-CN"/>
          <w14:textFill>
            <w14:solidFill>
              <w14:schemeClr w14:val="tx1"/>
            </w14:solidFill>
          </w14:textFill>
        </w:rPr>
        <w:t>）通知。</w:t>
      </w:r>
    </w:p>
    <w:p w14:paraId="43897FF5">
      <w:pPr>
        <w:widowControl/>
        <w:snapToGrid w:val="0"/>
        <w:spacing w:line="360" w:lineRule="auto"/>
        <w:ind w:firstLine="640" w:firstLineChars="200"/>
        <w:rPr>
          <w:rFonts w:ascii="Times New Roman" w:hAnsi="Times New Roman" w:eastAsia="黑体" w:cs="Times New Roman"/>
          <w:kern w:val="0"/>
          <w:sz w:val="32"/>
          <w:szCs w:val="32"/>
          <w:highlight w:val="none"/>
        </w:rPr>
      </w:pPr>
      <w:r>
        <w:rPr>
          <w:rFonts w:hint="eastAsia" w:ascii="Times New Roman" w:hAnsi="Times New Roman" w:eastAsia="黑体" w:cs="Times New Roman"/>
          <w:kern w:val="0"/>
          <w:sz w:val="32"/>
          <w:szCs w:val="32"/>
          <w:highlight w:val="none"/>
        </w:rPr>
        <w:t>六、</w:t>
      </w:r>
      <w:r>
        <w:rPr>
          <w:rFonts w:ascii="Times New Roman" w:hAnsi="Times New Roman" w:eastAsia="黑体" w:cs="Times New Roman"/>
          <w:kern w:val="0"/>
          <w:sz w:val="32"/>
          <w:szCs w:val="32"/>
          <w:highlight w:val="none"/>
        </w:rPr>
        <w:t xml:space="preserve">调剂工作流程 </w:t>
      </w:r>
    </w:p>
    <w:p w14:paraId="3AD7A699">
      <w:pPr>
        <w:widowControl/>
        <w:numPr>
          <w:ilvl w:val="0"/>
          <w:numId w:val="1"/>
        </w:numPr>
        <w:snapToGrid w:val="0"/>
        <w:spacing w:line="360" w:lineRule="auto"/>
        <w:ind w:firstLine="645"/>
        <w:rPr>
          <w:rFonts w:ascii="Times New Roman" w:hAnsi="Times New Roman" w:eastAsia="仿宋_GB2312" w:cs="Times New Roman"/>
          <w:color w:val="000000" w:themeColor="text1"/>
          <w:sz w:val="32"/>
          <w:szCs w:val="32"/>
          <w:highlight w:val="none"/>
          <w14:textFill>
            <w14:solidFill>
              <w14:schemeClr w14:val="tx1"/>
            </w14:solidFill>
          </w14:textFill>
        </w:rPr>
      </w:pPr>
      <w:r>
        <w:rPr>
          <w:rFonts w:ascii="Times New Roman" w:hAnsi="Times New Roman" w:eastAsia="仿宋_GB2312" w:cs="Times New Roman"/>
          <w:color w:val="000000" w:themeColor="text1"/>
          <w:sz w:val="32"/>
          <w:szCs w:val="32"/>
          <w:highlight w:val="none"/>
          <w14:textFill>
            <w14:solidFill>
              <w14:schemeClr w14:val="tx1"/>
            </w14:solidFill>
          </w14:textFill>
        </w:rPr>
        <w:t>调剂前准备事项</w:t>
      </w:r>
    </w:p>
    <w:p w14:paraId="37AD8B8F">
      <w:pPr>
        <w:widowControl/>
        <w:snapToGrid w:val="0"/>
        <w:spacing w:line="360" w:lineRule="auto"/>
        <w:ind w:firstLine="640" w:firstLineChars="200"/>
        <w:rPr>
          <w:rFonts w:ascii="Times New Roman" w:hAnsi="Times New Roman" w:eastAsia="仿宋_GB2312" w:cs="Times New Roman"/>
          <w:color w:val="000000" w:themeColor="text1"/>
          <w:sz w:val="32"/>
          <w:szCs w:val="32"/>
          <w:highlight w:val="none"/>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14:textFill>
            <w14:solidFill>
              <w14:schemeClr w14:val="tx1"/>
            </w14:solidFill>
          </w14:textFill>
        </w:rPr>
        <w:t>1.</w:t>
      </w:r>
      <w:r>
        <w:rPr>
          <w:rFonts w:ascii="Times New Roman" w:hAnsi="Times New Roman" w:eastAsia="仿宋_GB2312" w:cs="Times New Roman"/>
          <w:color w:val="000000" w:themeColor="text1"/>
          <w:sz w:val="32"/>
          <w:szCs w:val="32"/>
          <w:highlight w:val="none"/>
          <w14:textFill>
            <w14:solidFill>
              <w14:schemeClr w14:val="tx1"/>
            </w14:solidFill>
          </w14:textFill>
        </w:rPr>
        <w:t>我</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院</w:t>
      </w:r>
      <w:r>
        <w:rPr>
          <w:rFonts w:ascii="Times New Roman" w:hAnsi="Times New Roman" w:eastAsia="仿宋_GB2312" w:cs="Times New Roman"/>
          <w:color w:val="000000" w:themeColor="text1"/>
          <w:sz w:val="32"/>
          <w:szCs w:val="32"/>
          <w:highlight w:val="none"/>
          <w14:textFill>
            <w14:solidFill>
              <w14:schemeClr w14:val="tx1"/>
            </w14:solidFill>
          </w14:textFill>
        </w:rPr>
        <w:t>202</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6</w:t>
      </w:r>
      <w:r>
        <w:rPr>
          <w:rFonts w:ascii="Times New Roman" w:hAnsi="Times New Roman" w:eastAsia="仿宋_GB2312" w:cs="Times New Roman"/>
          <w:color w:val="000000" w:themeColor="text1"/>
          <w:sz w:val="32"/>
          <w:szCs w:val="32"/>
          <w:highlight w:val="none"/>
          <w14:textFill>
            <w14:solidFill>
              <w14:schemeClr w14:val="tx1"/>
            </w14:solidFill>
          </w14:textFill>
        </w:rPr>
        <w:t>年硕士研究生招生调剂考生复试采取远程网络的方式。申请调剂考生应提前做好网络远程复试的准备</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w:t>
      </w:r>
    </w:p>
    <w:p w14:paraId="71B1496C">
      <w:pPr>
        <w:widowControl/>
        <w:snapToGrid w:val="0"/>
        <w:spacing w:line="360" w:lineRule="auto"/>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14:textFill>
            <w14:solidFill>
              <w14:schemeClr w14:val="tx1"/>
            </w14:solidFill>
          </w14:textFill>
        </w:rPr>
        <w:t>（1）系统要求。我院采用腾讯会议系统为远程复试首选系统。考生要提前</w:t>
      </w:r>
      <w:r>
        <w:rPr>
          <w:rFonts w:hint="eastAsia" w:ascii="Times New Roman" w:hAnsi="Times New Roman" w:eastAsia="仿宋_GB2312" w:cs="Times New Roman"/>
          <w:color w:val="000000" w:themeColor="text1"/>
          <w:sz w:val="32"/>
          <w:szCs w:val="32"/>
          <w14:textFill>
            <w14:solidFill>
              <w14:schemeClr w14:val="tx1"/>
            </w14:solidFill>
          </w14:textFill>
        </w:rPr>
        <w:t>下载、安装腾讯会议系统，并配合完成远程复试系统的模拟测试，确保满足复试要求。</w:t>
      </w:r>
    </w:p>
    <w:p w14:paraId="59AD4E7B">
      <w:pPr>
        <w:widowControl/>
        <w:snapToGrid w:val="0"/>
        <w:spacing w:line="360" w:lineRule="auto"/>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为保证达到“双机位”要求，请考生提前准备至少2个腾讯会议账号，分别命名为：考生姓名1、考生姓名2。</w:t>
      </w:r>
    </w:p>
    <w:p w14:paraId="1998C123">
      <w:pPr>
        <w:widowControl/>
        <w:spacing w:line="360" w:lineRule="auto"/>
        <w:jc w:val="both"/>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drawing>
          <wp:inline distT="0" distB="0" distL="0" distR="0">
            <wp:extent cx="5276850" cy="2438400"/>
            <wp:effectExtent l="0" t="0" r="6350" b="0"/>
            <wp:docPr id="1" name="图片 1" descr="http://yjs.sspu.edu.cn/wcm.files/upload/CMSyjswz/202103/2021031903050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yjs.sspu.edu.cn/wcm.files/upload/CMSyjswz/202103/202103190305019.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5276850" cy="2438400"/>
                    </a:xfrm>
                    <a:prstGeom prst="rect">
                      <a:avLst/>
                    </a:prstGeom>
                    <a:noFill/>
                    <a:ln>
                      <a:noFill/>
                    </a:ln>
                  </pic:spPr>
                </pic:pic>
              </a:graphicData>
            </a:graphic>
          </wp:inline>
        </w:drawing>
      </w:r>
    </w:p>
    <w:p w14:paraId="74CF981A">
      <w:pPr>
        <w:widowControl/>
        <w:snapToGrid w:val="0"/>
        <w:spacing w:line="360" w:lineRule="auto"/>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2）机位配置。考生参加复试须使用“双机位”。“第一机位”从考生正前方采集考生本人音视频信息，复试全程开启，摄像头取景范围不能过小，考生头肩部以上正面面容及双手须全程在视频录像范围内。“第二机位”要能够采集考生所处环境的整体情况，位于复试场所远端，与考生后背成45°角，能够清楚地拍摄到考生本人和电脑屏幕，复试全程开启。</w:t>
      </w:r>
    </w:p>
    <w:p w14:paraId="358FA5B1">
      <w:pPr>
        <w:widowControl/>
        <w:snapToGrid w:val="0"/>
        <w:spacing w:line="360" w:lineRule="auto"/>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3）设备要求。建议考生尽可能使用电脑（笔记本电脑或台式机电脑+外置摄像、麦克风设备）作为“第一机位”复试设备，使用智能手机作为“第二机位”复试场地监控设备。“双机位”音视频信号采集应清晰流畅。请考生提前准备好相关设备并确定两个机位设备的拍摄位置，保障复试期间设备电量和内存空间充足，连接优质网络，尽量使用有线网络连接和4G、5G连接方式，确保设备功能满足学校要求。考生可根据个人情况适当准备备用设备。考生使用电脑或手机进行视频复试的过程中，视频复试系统要始终全屏显示。考生设备不允许再运行其他网页或软件，须彻底关闭各种可能中断或影响考试的应用程序，特别是微信、QQ等易弹出窗口的软件，确保设备处于免打扰状态，保证复试过程不受其他因素干扰或打断。因其他应用程序或软件造成视频复试中断的，后果由考生本人承担。出现网络中断等突发事件时，请考生不要慌张，要确保报考时所填报手机号码能够正常接听电话。</w:t>
      </w:r>
    </w:p>
    <w:p w14:paraId="4F4A7766">
      <w:pPr>
        <w:widowControl/>
        <w:snapToGrid w:val="0"/>
        <w:spacing w:line="360" w:lineRule="auto"/>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4）环境要求。复试过程中，考生须保证独处且所在空间安静，复试房间其他电子设备必须关闭，不允许出现可能干扰复试进行的其他声音。复试时环境亮度合适，光线不能过暗，不要逆光。复试过程中，复试房间内除考生本人外不能有其他任何人员，考生不得以任何方式查阅资料，不得接受他人或机构以任何方式的助考，否则视为作弊。复试期间的视频背景必须为真实环境，不允许使用虚拟背景或者更换视频背景。考生复试时须保证视频中本人图像清晰，不能过度修饰仪容，不得佩戴墨镜、帽子、头饰、口罩、耳机等，头发不得遮挡面部、耳部。复试全程考生应保持注视摄像头，视线不得离开，不得中途离开座位，不能以任何方式变声、改变人像。复试结束后，考生应按复试工作人员要求退出网络复试考场。退出考场后，考生不得再进入复试考场。</w:t>
      </w:r>
    </w:p>
    <w:p w14:paraId="6060CC72">
      <w:pPr>
        <w:widowControl/>
        <w:snapToGrid w:val="0"/>
        <w:spacing w:line="360" w:lineRule="auto"/>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2.</w:t>
      </w:r>
      <w:r>
        <w:rPr>
          <w:rFonts w:ascii="Times New Roman" w:hAnsi="Times New Roman" w:eastAsia="仿宋_GB2312" w:cs="Times New Roman"/>
          <w:color w:val="000000" w:themeColor="text1"/>
          <w:sz w:val="32"/>
          <w:szCs w:val="32"/>
          <w14:textFill>
            <w14:solidFill>
              <w14:schemeClr w14:val="tx1"/>
            </w14:solidFill>
          </w14:textFill>
        </w:rPr>
        <w:t>复试资格审查相关材料电子版：初试准考证、身份证、学籍在线验证报告(应届生）、学历证书电子注册备案表（往届生）、留学服务中心出具的学历认证证明（国外学历）等。满足加分政策的考生出具相关证明材料。</w:t>
      </w:r>
    </w:p>
    <w:p w14:paraId="78D87155">
      <w:pPr>
        <w:widowControl/>
        <w:snapToGrid w:val="0"/>
        <w:spacing w:line="360" w:lineRule="auto"/>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3.考生一志愿录取类别为“定向”的考生，如申请调剂全日制专业，需提前准备“定向单位同意报考的证明材料”。全日制定向培养考生须签署定向就业协议。</w:t>
      </w:r>
    </w:p>
    <w:p w14:paraId="42BA0940">
      <w:pPr>
        <w:widowControl/>
        <w:snapToGrid w:val="0"/>
        <w:spacing w:line="360" w:lineRule="auto"/>
        <w:ind w:firstLine="645"/>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（二）</w:t>
      </w:r>
      <w:r>
        <w:rPr>
          <w:rFonts w:ascii="Times New Roman" w:hAnsi="Times New Roman" w:eastAsia="仿宋_GB2312" w:cs="Times New Roman"/>
          <w:color w:val="000000" w:themeColor="text1"/>
          <w:sz w:val="32"/>
          <w:szCs w:val="32"/>
          <w14:textFill>
            <w14:solidFill>
              <w14:schemeClr w14:val="tx1"/>
            </w14:solidFill>
          </w14:textFill>
        </w:rPr>
        <w:t xml:space="preserve">调剂志愿填报 </w:t>
      </w:r>
    </w:p>
    <w:p w14:paraId="11AF0A42">
      <w:pPr>
        <w:widowControl/>
        <w:snapToGrid w:val="0"/>
        <w:spacing w:line="360" w:lineRule="auto"/>
        <w:ind w:firstLine="645"/>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凡有意向调剂的考生请先仔细阅读《</w:t>
      </w:r>
      <w:r>
        <w:rPr>
          <w:rFonts w:hint="eastAsia" w:ascii="Times New Roman" w:hAnsi="Times New Roman" w:eastAsia="仿宋_GB2312" w:cs="Times New Roman"/>
          <w:color w:val="000000" w:themeColor="text1"/>
          <w:sz w:val="32"/>
          <w:szCs w:val="32"/>
          <w14:textFill>
            <w14:solidFill>
              <w14:schemeClr w14:val="tx1"/>
            </w14:solidFill>
          </w14:textFill>
        </w:rPr>
        <w:t>上海商学院202</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6</w:t>
      </w:r>
      <w:r>
        <w:rPr>
          <w:rFonts w:ascii="Times New Roman" w:hAnsi="Times New Roman" w:eastAsia="仿宋_GB2312" w:cs="Times New Roman"/>
          <w:color w:val="000000" w:themeColor="text1"/>
          <w:sz w:val="32"/>
          <w:szCs w:val="32"/>
          <w14:textFill>
            <w14:solidFill>
              <w14:schemeClr w14:val="tx1"/>
            </w14:solidFill>
          </w14:textFill>
        </w:rPr>
        <w:t>年硕士研究生</w:t>
      </w:r>
      <w:r>
        <w:rPr>
          <w:rFonts w:hint="eastAsia" w:ascii="Times New Roman" w:hAnsi="Times New Roman" w:eastAsia="仿宋_GB2312" w:cs="Times New Roman"/>
          <w:color w:val="000000" w:themeColor="text1"/>
          <w:sz w:val="32"/>
          <w:szCs w:val="32"/>
          <w14:textFill>
            <w14:solidFill>
              <w14:schemeClr w14:val="tx1"/>
            </w14:solidFill>
          </w14:textFill>
        </w:rPr>
        <w:t>招生</w:t>
      </w:r>
      <w:r>
        <w:rPr>
          <w:rFonts w:ascii="Times New Roman" w:hAnsi="Times New Roman" w:eastAsia="仿宋_GB2312" w:cs="Times New Roman"/>
          <w:color w:val="000000" w:themeColor="text1"/>
          <w:sz w:val="32"/>
          <w:szCs w:val="32"/>
          <w14:textFill>
            <w14:solidFill>
              <w14:schemeClr w14:val="tx1"/>
            </w14:solidFill>
          </w14:textFill>
        </w:rPr>
        <w:t>简章》</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上海商学院</w:t>
      </w:r>
      <w:r>
        <w:rPr>
          <w:rFonts w:hint="eastAsia" w:ascii="Times New Roman" w:hAnsi="Times New Roman" w:eastAsia="仿宋_GB2312" w:cs="Times New Roman"/>
          <w:color w:val="000000" w:themeColor="text1"/>
          <w:sz w:val="32"/>
          <w:szCs w:val="32"/>
          <w14:textFill>
            <w14:solidFill>
              <w14:schemeClr w14:val="tx1"/>
            </w14:solidFill>
          </w14:textFill>
        </w:rPr>
        <w:t>202</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6</w:t>
      </w:r>
      <w:r>
        <w:rPr>
          <w:rFonts w:ascii="Times New Roman" w:hAnsi="Times New Roman" w:eastAsia="仿宋_GB2312" w:cs="Times New Roman"/>
          <w:color w:val="000000" w:themeColor="text1"/>
          <w:sz w:val="32"/>
          <w:szCs w:val="32"/>
          <w14:textFill>
            <w14:solidFill>
              <w14:schemeClr w14:val="tx1"/>
            </w14:solidFill>
          </w14:textFill>
        </w:rPr>
        <w:t>年硕士研究生招生复试实施方案</w:t>
      </w:r>
      <w:r>
        <w:rPr>
          <w:rFonts w:hint="eastAsia"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和</w:t>
      </w:r>
      <w:r>
        <w:rPr>
          <w:rFonts w:hint="eastAsia" w:ascii="Times New Roman" w:hAnsi="Times New Roman" w:eastAsia="仿宋_GB2312" w:cs="Times New Roman"/>
          <w:color w:val="000000" w:themeColor="text1"/>
          <w:sz w:val="32"/>
          <w:szCs w:val="32"/>
          <w14:textFill>
            <w14:solidFill>
              <w14:schemeClr w14:val="tx1"/>
            </w14:solidFill>
          </w14:textFill>
        </w:rPr>
        <w:t>学院</w:t>
      </w:r>
      <w:r>
        <w:rPr>
          <w:rFonts w:ascii="Times New Roman" w:hAnsi="Times New Roman" w:eastAsia="仿宋_GB2312" w:cs="Times New Roman"/>
          <w:color w:val="000000" w:themeColor="text1"/>
          <w:sz w:val="32"/>
          <w:szCs w:val="32"/>
          <w14:textFill>
            <w14:solidFill>
              <w14:schemeClr w14:val="tx1"/>
            </w14:solidFill>
          </w14:textFill>
        </w:rPr>
        <w:t>相关调剂公告，在“全国硕士生招生调剂服务系统”（网址：https://yz.chsi.com.cn/yztj/）开通后，登陆查看</w:t>
      </w:r>
      <w:r>
        <w:rPr>
          <w:rFonts w:hint="eastAsia" w:ascii="Times New Roman" w:hAnsi="Times New Roman" w:eastAsia="仿宋_GB2312" w:cs="Times New Roman"/>
          <w:color w:val="000000" w:themeColor="text1"/>
          <w:sz w:val="32"/>
          <w:szCs w:val="32"/>
          <w14:textFill>
            <w14:solidFill>
              <w14:schemeClr w14:val="tx1"/>
            </w14:solidFill>
          </w14:textFill>
        </w:rPr>
        <w:t>我院</w:t>
      </w:r>
      <w:r>
        <w:rPr>
          <w:rFonts w:ascii="Times New Roman" w:hAnsi="Times New Roman" w:eastAsia="仿宋_GB2312" w:cs="Times New Roman"/>
          <w:color w:val="000000" w:themeColor="text1"/>
          <w:sz w:val="32"/>
          <w:szCs w:val="32"/>
          <w14:textFill>
            <w14:solidFill>
              <w14:schemeClr w14:val="tx1"/>
            </w14:solidFill>
          </w14:textFill>
        </w:rPr>
        <w:t>调剂专业情况，在规定时间内填报调剂志愿。</w:t>
      </w:r>
    </w:p>
    <w:p w14:paraId="5FB24D60">
      <w:pPr>
        <w:widowControl/>
        <w:snapToGrid w:val="0"/>
        <w:spacing w:line="360" w:lineRule="auto"/>
        <w:ind w:firstLine="645"/>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（三）</w:t>
      </w:r>
      <w:r>
        <w:rPr>
          <w:rFonts w:ascii="Times New Roman" w:hAnsi="Times New Roman" w:eastAsia="仿宋_GB2312" w:cs="Times New Roman"/>
          <w:color w:val="000000" w:themeColor="text1"/>
          <w:sz w:val="32"/>
          <w:szCs w:val="32"/>
          <w14:textFill>
            <w14:solidFill>
              <w14:schemeClr w14:val="tx1"/>
            </w14:solidFill>
          </w14:textFill>
        </w:rPr>
        <w:t>调剂复试通知</w:t>
      </w:r>
    </w:p>
    <w:p w14:paraId="475E205E">
      <w:pPr>
        <w:widowControl/>
        <w:snapToGrid w:val="0"/>
        <w:spacing w:line="360" w:lineRule="auto"/>
        <w:ind w:firstLine="645"/>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学院审查调剂考生资格</w:t>
      </w:r>
      <w:r>
        <w:rPr>
          <w:rFonts w:ascii="Times New Roman" w:hAnsi="Times New Roman" w:eastAsia="仿宋_GB2312"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themeColor="text1"/>
          <w:sz w:val="32"/>
          <w:szCs w:val="32"/>
          <w14:textFill>
            <w14:solidFill>
              <w14:schemeClr w14:val="tx1"/>
            </w14:solidFill>
          </w14:textFill>
        </w:rPr>
        <w:t>并</w:t>
      </w:r>
      <w:r>
        <w:rPr>
          <w:rFonts w:ascii="Times New Roman" w:hAnsi="Times New Roman" w:eastAsia="仿宋_GB2312" w:cs="Times New Roman"/>
          <w:color w:val="000000" w:themeColor="text1"/>
          <w:sz w:val="32"/>
          <w:szCs w:val="32"/>
          <w14:textFill>
            <w14:solidFill>
              <w14:schemeClr w14:val="tx1"/>
            </w14:solidFill>
          </w14:textFill>
        </w:rPr>
        <w:t>通过“全国硕士生招生调剂服务系统”发送复试通知</w:t>
      </w:r>
      <w:r>
        <w:rPr>
          <w:rFonts w:hint="eastAsia"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考生在接到调剂复试通知后，必须在复试通知中规定时间内确认同意调剂。不符合我</w:t>
      </w:r>
      <w:r>
        <w:rPr>
          <w:rFonts w:hint="eastAsia" w:ascii="Times New Roman" w:hAnsi="Times New Roman" w:eastAsia="仿宋_GB2312" w:cs="Times New Roman"/>
          <w:color w:val="000000" w:themeColor="text1"/>
          <w:sz w:val="32"/>
          <w:szCs w:val="32"/>
          <w14:textFill>
            <w14:solidFill>
              <w14:schemeClr w14:val="tx1"/>
            </w14:solidFill>
          </w14:textFill>
        </w:rPr>
        <w:t>院</w:t>
      </w:r>
      <w:r>
        <w:rPr>
          <w:rFonts w:ascii="Times New Roman" w:hAnsi="Times New Roman" w:eastAsia="仿宋_GB2312" w:cs="Times New Roman"/>
          <w:color w:val="000000" w:themeColor="text1"/>
          <w:sz w:val="32"/>
          <w:szCs w:val="32"/>
          <w14:textFill>
            <w14:solidFill>
              <w14:schemeClr w14:val="tx1"/>
            </w14:solidFill>
          </w14:textFill>
        </w:rPr>
        <w:t xml:space="preserve">复试要求的考生，学院将尽快解锁。 </w:t>
      </w:r>
    </w:p>
    <w:p w14:paraId="657E1261">
      <w:pPr>
        <w:widowControl/>
        <w:snapToGrid w:val="0"/>
        <w:spacing w:line="360" w:lineRule="auto"/>
        <w:ind w:firstLine="645"/>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（四）</w:t>
      </w:r>
      <w:r>
        <w:rPr>
          <w:rFonts w:ascii="Times New Roman" w:hAnsi="Times New Roman" w:eastAsia="仿宋_GB2312" w:cs="Times New Roman"/>
          <w:color w:val="000000" w:themeColor="text1"/>
          <w:sz w:val="32"/>
          <w:szCs w:val="32"/>
          <w14:textFill>
            <w14:solidFill>
              <w14:schemeClr w14:val="tx1"/>
            </w14:solidFill>
          </w14:textFill>
        </w:rPr>
        <w:t>调剂考生复试</w:t>
      </w:r>
    </w:p>
    <w:p w14:paraId="72D52CA9">
      <w:pPr>
        <w:widowControl/>
        <w:snapToGrid w:val="0"/>
        <w:spacing w:line="360" w:lineRule="auto"/>
        <w:ind w:firstLine="645"/>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本</w:t>
      </w:r>
      <w:r>
        <w:rPr>
          <w:rFonts w:ascii="Times New Roman" w:hAnsi="Times New Roman" w:eastAsia="仿宋_GB2312" w:cs="Times New Roman"/>
          <w:color w:val="000000" w:themeColor="text1"/>
          <w:sz w:val="32"/>
          <w:szCs w:val="32"/>
          <w14:textFill>
            <w14:solidFill>
              <w14:schemeClr w14:val="tx1"/>
            </w14:solidFill>
          </w14:textFill>
        </w:rPr>
        <w:t>学院组织符合要求的考生进行复试。复试相关要求和工作流程由学院依照复试实施细则执行，考生密切关注</w:t>
      </w:r>
      <w:r>
        <w:rPr>
          <w:rFonts w:hint="eastAsia" w:ascii="Times New Roman" w:hAnsi="Times New Roman" w:eastAsia="仿宋_GB2312" w:cs="Times New Roman"/>
          <w:color w:val="000000" w:themeColor="text1"/>
          <w:sz w:val="32"/>
          <w:szCs w:val="32"/>
          <w14:textFill>
            <w14:solidFill>
              <w14:schemeClr w14:val="tx1"/>
            </w14:solidFill>
          </w14:textFill>
        </w:rPr>
        <w:t>本</w:t>
      </w:r>
      <w:r>
        <w:rPr>
          <w:rFonts w:ascii="Times New Roman" w:hAnsi="Times New Roman" w:eastAsia="仿宋_GB2312" w:cs="Times New Roman"/>
          <w:color w:val="000000" w:themeColor="text1"/>
          <w:sz w:val="32"/>
          <w:szCs w:val="32"/>
          <w14:textFill>
            <w14:solidFill>
              <w14:schemeClr w14:val="tx1"/>
            </w14:solidFill>
          </w14:textFill>
        </w:rPr>
        <w:t>学院网站</w:t>
      </w:r>
      <w:r>
        <w:rPr>
          <w:rFonts w:hint="eastAsia" w:ascii="Times New Roman" w:hAnsi="Times New Roman" w:eastAsia="仿宋_GB2312" w:cs="Times New Roman"/>
          <w:color w:val="000000" w:themeColor="text1"/>
          <w:sz w:val="32"/>
          <w:szCs w:val="32"/>
          <w14:textFill>
            <w14:solidFill>
              <w14:schemeClr w14:val="tx1"/>
            </w14:solidFill>
          </w14:textFill>
        </w:rPr>
        <w:t>和学校研究生处</w:t>
      </w:r>
      <w:r>
        <w:rPr>
          <w:rFonts w:ascii="Times New Roman" w:hAnsi="Times New Roman" w:eastAsia="仿宋_GB2312" w:cs="Times New Roman"/>
          <w:color w:val="000000" w:themeColor="text1"/>
          <w:sz w:val="32"/>
          <w:szCs w:val="32"/>
          <w14:textFill>
            <w14:solidFill>
              <w14:schemeClr w14:val="tx1"/>
            </w14:solidFill>
          </w14:textFill>
        </w:rPr>
        <w:t>了解复试</w:t>
      </w:r>
      <w:r>
        <w:rPr>
          <w:rFonts w:hint="eastAsia" w:ascii="Times New Roman" w:hAnsi="Times New Roman" w:eastAsia="仿宋_GB2312" w:cs="Times New Roman"/>
          <w:color w:val="000000" w:themeColor="text1"/>
          <w:sz w:val="32"/>
          <w:szCs w:val="32"/>
          <w14:textFill>
            <w14:solidFill>
              <w14:schemeClr w14:val="tx1"/>
            </w14:solidFill>
          </w14:textFill>
        </w:rPr>
        <w:t>相关</w:t>
      </w:r>
      <w:r>
        <w:rPr>
          <w:rFonts w:ascii="Times New Roman" w:hAnsi="Times New Roman" w:eastAsia="仿宋_GB2312" w:cs="Times New Roman"/>
          <w:color w:val="000000" w:themeColor="text1"/>
          <w:sz w:val="32"/>
          <w:szCs w:val="32"/>
          <w14:textFill>
            <w14:solidFill>
              <w14:schemeClr w14:val="tx1"/>
            </w14:solidFill>
          </w14:textFill>
        </w:rPr>
        <w:t>信息。</w:t>
      </w:r>
    </w:p>
    <w:p w14:paraId="13268261">
      <w:pPr>
        <w:widowControl/>
        <w:snapToGrid w:val="0"/>
        <w:spacing w:line="360" w:lineRule="auto"/>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（五）</w:t>
      </w:r>
      <w:r>
        <w:rPr>
          <w:rFonts w:ascii="Times New Roman" w:hAnsi="Times New Roman" w:eastAsia="仿宋_GB2312" w:cs="Times New Roman"/>
          <w:color w:val="000000" w:themeColor="text1"/>
          <w:sz w:val="32"/>
          <w:szCs w:val="32"/>
          <w14:textFill>
            <w14:solidFill>
              <w14:schemeClr w14:val="tx1"/>
            </w14:solidFill>
          </w14:textFill>
        </w:rPr>
        <w:t>调剂考生待录取</w:t>
      </w:r>
    </w:p>
    <w:p w14:paraId="4D6C1E44">
      <w:pPr>
        <w:widowControl/>
        <w:snapToGrid w:val="0"/>
        <w:spacing w:line="360" w:lineRule="auto"/>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调剂考生通过我</w:t>
      </w:r>
      <w:r>
        <w:rPr>
          <w:rFonts w:hint="eastAsia" w:ascii="Times New Roman" w:hAnsi="Times New Roman" w:eastAsia="仿宋_GB2312" w:cs="Times New Roman"/>
          <w:color w:val="000000" w:themeColor="text1"/>
          <w:sz w:val="32"/>
          <w:szCs w:val="32"/>
          <w14:textFill>
            <w14:solidFill>
              <w14:schemeClr w14:val="tx1"/>
            </w14:solidFill>
          </w14:textFill>
        </w:rPr>
        <w:t>院</w:t>
      </w:r>
      <w:r>
        <w:rPr>
          <w:rFonts w:ascii="Times New Roman" w:hAnsi="Times New Roman" w:eastAsia="仿宋_GB2312" w:cs="Times New Roman"/>
          <w:color w:val="000000" w:themeColor="text1"/>
          <w:sz w:val="32"/>
          <w:szCs w:val="32"/>
          <w14:textFill>
            <w14:solidFill>
              <w14:schemeClr w14:val="tx1"/>
            </w14:solidFill>
          </w14:textFill>
        </w:rPr>
        <w:t>组织的复试考核，符合拟录取资格，</w:t>
      </w:r>
      <w:r>
        <w:rPr>
          <w:rFonts w:hint="eastAsia" w:ascii="Times New Roman" w:hAnsi="Times New Roman" w:eastAsia="仿宋_GB2312" w:cs="Times New Roman"/>
          <w:color w:val="000000" w:themeColor="text1"/>
          <w:sz w:val="32"/>
          <w:szCs w:val="32"/>
          <w14:textFill>
            <w14:solidFill>
              <w14:schemeClr w14:val="tx1"/>
            </w14:solidFill>
          </w14:textFill>
        </w:rPr>
        <w:t>我校</w:t>
      </w:r>
      <w:r>
        <w:rPr>
          <w:rFonts w:ascii="Times New Roman" w:hAnsi="Times New Roman" w:eastAsia="仿宋_GB2312" w:cs="Times New Roman"/>
          <w:color w:val="000000" w:themeColor="text1"/>
          <w:sz w:val="32"/>
          <w:szCs w:val="32"/>
          <w14:textFill>
            <w14:solidFill>
              <w14:schemeClr w14:val="tx1"/>
            </w14:solidFill>
          </w14:textFill>
        </w:rPr>
        <w:t>将尽快通过</w:t>
      </w:r>
      <w:r>
        <w:rPr>
          <w:rFonts w:hint="eastAsia"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全国硕士生招生调剂服务系统</w:t>
      </w:r>
      <w:r>
        <w:rPr>
          <w:rFonts w:hint="eastAsia"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发送拟录取通知，请考生注意查看并及时接受拟录取通知。</w:t>
      </w:r>
    </w:p>
    <w:p w14:paraId="3B6E49A8">
      <w:pPr>
        <w:widowControl/>
        <w:snapToGrid w:val="0"/>
        <w:spacing w:line="360" w:lineRule="auto"/>
        <w:ind w:firstLine="645"/>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调剂考生在参加调剂复试后，如已接受我校发送的待录取通知，学校将不撤销更改待录取通知。</w:t>
      </w:r>
    </w:p>
    <w:p w14:paraId="5EFCD8D5">
      <w:pPr>
        <w:widowControl/>
        <w:snapToGrid w:val="0"/>
        <w:spacing w:line="360" w:lineRule="auto"/>
        <w:ind w:firstLine="645"/>
        <w:rPr>
          <w:rFonts w:ascii="Times New Roman" w:hAnsi="Times New Roman" w:eastAsia="黑体" w:cs="Times New Roman"/>
          <w:kern w:val="0"/>
          <w:sz w:val="32"/>
          <w:szCs w:val="32"/>
        </w:rPr>
      </w:pPr>
      <w:r>
        <w:rPr>
          <w:rFonts w:hint="eastAsia" w:ascii="Times New Roman" w:hAnsi="Times New Roman" w:eastAsia="黑体" w:cs="Times New Roman"/>
          <w:kern w:val="0"/>
          <w:sz w:val="32"/>
          <w:szCs w:val="32"/>
        </w:rPr>
        <w:t>七、调剂工作要求</w:t>
      </w:r>
    </w:p>
    <w:p w14:paraId="58096900">
      <w:pPr>
        <w:widowControl/>
        <w:snapToGrid w:val="0"/>
        <w:spacing w:line="360" w:lineRule="auto"/>
        <w:ind w:firstLine="645"/>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1.</w:t>
      </w:r>
      <w:r>
        <w:rPr>
          <w:rFonts w:ascii="Times New Roman" w:hAnsi="Times New Roman" w:eastAsia="仿宋_GB2312" w:cs="Times New Roman"/>
          <w:color w:val="000000" w:themeColor="text1"/>
          <w:sz w:val="32"/>
          <w:szCs w:val="32"/>
          <w14:textFill>
            <w14:solidFill>
              <w14:schemeClr w14:val="tx1"/>
            </w14:solidFill>
          </w14:textFill>
        </w:rPr>
        <w:t>所有调剂考生的调剂录取工作均通过中国研究生招生信息网“全国硕士生招生调剂服务系统”进行。</w:t>
      </w:r>
    </w:p>
    <w:p w14:paraId="47043A17">
      <w:pPr>
        <w:widowControl/>
        <w:snapToGrid w:val="0"/>
        <w:spacing w:line="360" w:lineRule="auto"/>
        <w:ind w:firstLine="645"/>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2.</w:t>
      </w:r>
      <w:r>
        <w:rPr>
          <w:rFonts w:ascii="Times New Roman" w:hAnsi="Times New Roman" w:eastAsia="仿宋_GB2312" w:cs="Times New Roman"/>
          <w:color w:val="000000" w:themeColor="text1"/>
          <w:sz w:val="32"/>
          <w:szCs w:val="32"/>
          <w14:textFill>
            <w14:solidFill>
              <w14:schemeClr w14:val="tx1"/>
            </w14:solidFill>
          </w14:textFill>
        </w:rPr>
        <w:t>凡有意愿调剂的考生可关注学院调剂实施细则和调剂公告，了解学院接收调剂的时间、基本要求和工作流程等信息。学院将在政策规定的时间内尽可能缩短考生调剂等待时间，及时向考生反馈是否符合调剂复试要求。</w:t>
      </w:r>
    </w:p>
    <w:p w14:paraId="175FABD3">
      <w:pPr>
        <w:widowControl/>
        <w:snapToGrid w:val="0"/>
        <w:spacing w:line="360" w:lineRule="auto"/>
        <w:ind w:firstLine="645"/>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3</w:t>
      </w:r>
      <w:r>
        <w:rPr>
          <w:rFonts w:hint="eastAsia"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对申请同一专业、初试科目完全相同的调剂考生，按初试成绩择优遴选进入复试的考生名单。不以考生第一志愿报考单位、毕业院校、提交调剂志愿的时间先后顺序等非学业水平标准作为遴选依据。不以考生所在单位、行业、地域、学校层次类别等非学业水平标准限定调剂生源范围。</w:t>
      </w:r>
    </w:p>
    <w:p w14:paraId="03E755D6">
      <w:pPr>
        <w:widowControl/>
        <w:snapToGrid w:val="0"/>
        <w:spacing w:line="360" w:lineRule="auto"/>
        <w:ind w:firstLine="645"/>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4.调剂考生复试，严格依照学校202</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6</w:t>
      </w:r>
      <w:r>
        <w:rPr>
          <w:rFonts w:ascii="Times New Roman" w:hAnsi="Times New Roman" w:eastAsia="仿宋_GB2312" w:cs="Times New Roman"/>
          <w:color w:val="000000" w:themeColor="text1"/>
          <w:sz w:val="32"/>
          <w:szCs w:val="32"/>
          <w14:textFill>
            <w14:solidFill>
              <w14:schemeClr w14:val="tx1"/>
            </w14:solidFill>
          </w14:textFill>
        </w:rPr>
        <w:t>年硕士研究生复试实施方案和学院复试实施细则执行。</w:t>
      </w:r>
    </w:p>
    <w:p w14:paraId="6458A443">
      <w:pPr>
        <w:pStyle w:val="3"/>
        <w:snapToGrid w:val="0"/>
        <w:spacing w:before="0" w:line="360" w:lineRule="auto"/>
        <w:ind w:left="761"/>
        <w:rPr>
          <w:rFonts w:ascii="Times New Roman" w:hAnsi="Times New Roman" w:eastAsia="黑体" w:cs="Times New Roman"/>
          <w:lang w:eastAsia="zh-CN"/>
        </w:rPr>
      </w:pPr>
      <w:r>
        <w:rPr>
          <w:rFonts w:hint="eastAsia" w:ascii="Times New Roman" w:hAnsi="Times New Roman" w:eastAsia="黑体" w:cs="Times New Roman"/>
          <w:lang w:eastAsia="zh-CN"/>
        </w:rPr>
        <w:t>八、违规处理</w:t>
      </w:r>
    </w:p>
    <w:p w14:paraId="713384C3">
      <w:pPr>
        <w:pStyle w:val="3"/>
        <w:snapToGrid w:val="0"/>
        <w:spacing w:before="0" w:line="360" w:lineRule="auto"/>
        <w:ind w:firstLine="640"/>
        <w:jc w:val="both"/>
        <w:rPr>
          <w:rFonts w:ascii="Times New Roman" w:hAnsi="Times New Roman" w:eastAsia="仿宋_GB2312" w:cs="Times New Roman"/>
          <w:lang w:eastAsia="zh-CN"/>
        </w:rPr>
      </w:pPr>
      <w:r>
        <w:rPr>
          <w:rFonts w:hint="eastAsia" w:ascii="Times New Roman" w:hAnsi="Times New Roman" w:eastAsia="仿宋_GB2312" w:cs="Times New Roman"/>
          <w:lang w:eastAsia="zh-CN"/>
        </w:rPr>
        <w:t>考生应签署《诚信复试承诺书》，严格遵守复试考场规则。考生在本人复试结束后，全校复试工作全部结束前，不得以任何形式透露传播试题内容等有关情况，否则一经查实按作弊论处。对违反招生考试管理规定和考场纪律，影响考试公平、公正的考生，按有关规定严肃处理；构成违法犯罪的，由司法机关依法追究法律责任。</w:t>
      </w:r>
    </w:p>
    <w:p w14:paraId="4561FB4A">
      <w:pPr>
        <w:pStyle w:val="3"/>
        <w:snapToGrid w:val="0"/>
        <w:spacing w:before="0" w:line="360" w:lineRule="auto"/>
        <w:ind w:firstLine="640"/>
        <w:jc w:val="both"/>
        <w:rPr>
          <w:rFonts w:hint="eastAsia" w:ascii="Times New Roman" w:hAnsi="Times New Roman" w:eastAsia="黑体" w:cs="Times New Roman"/>
          <w:kern w:val="0"/>
          <w:sz w:val="32"/>
          <w:szCs w:val="32"/>
        </w:rPr>
      </w:pPr>
      <w:r>
        <w:rPr>
          <w:rFonts w:hint="eastAsia" w:ascii="Times New Roman" w:hAnsi="Times New Roman" w:eastAsia="仿宋_GB2312" w:cs="Times New Roman"/>
          <w:lang w:eastAsia="zh-CN"/>
        </w:rPr>
        <w:t>对在复试过程中有违规行为的考生，一经查实，即按照《国家教育考试违规处理办法》《普通高等学校招生违规行为处理暂行办法》等规定严肃处理，取消录取资格。</w:t>
      </w:r>
    </w:p>
    <w:p w14:paraId="2E1C7FAD">
      <w:pPr>
        <w:widowControl/>
        <w:snapToGrid w:val="0"/>
        <w:spacing w:line="360" w:lineRule="auto"/>
        <w:ind w:firstLine="645"/>
        <w:rPr>
          <w:rFonts w:ascii="Times New Roman" w:hAnsi="Times New Roman" w:eastAsia="黑体" w:cs="Times New Roman"/>
          <w:kern w:val="0"/>
          <w:sz w:val="32"/>
          <w:szCs w:val="32"/>
        </w:rPr>
      </w:pPr>
      <w:r>
        <w:rPr>
          <w:rFonts w:hint="eastAsia" w:ascii="Times New Roman" w:hAnsi="Times New Roman" w:eastAsia="黑体" w:cs="Times New Roman"/>
          <w:kern w:val="0"/>
          <w:sz w:val="32"/>
          <w:szCs w:val="32"/>
        </w:rPr>
        <w:t>九</w:t>
      </w:r>
      <w:r>
        <w:rPr>
          <w:rFonts w:ascii="Times New Roman" w:hAnsi="Times New Roman" w:eastAsia="黑体" w:cs="Times New Roman"/>
          <w:kern w:val="0"/>
          <w:sz w:val="32"/>
          <w:szCs w:val="32"/>
        </w:rPr>
        <w:t>、监督复议</w:t>
      </w:r>
    </w:p>
    <w:p w14:paraId="5ADFECE9">
      <w:pPr>
        <w:widowControl/>
        <w:snapToGrid w:val="0"/>
        <w:spacing w:line="360" w:lineRule="auto"/>
        <w:ind w:firstLine="645"/>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调剂工作执行回避制度、监督制度、责任制度。</w:t>
      </w:r>
      <w:r>
        <w:rPr>
          <w:rFonts w:hint="eastAsia" w:ascii="Times New Roman" w:hAnsi="Times New Roman" w:eastAsia="仿宋_GB2312" w:cs="Times New Roman"/>
          <w:color w:val="000000" w:themeColor="text1"/>
          <w:sz w:val="32"/>
          <w:szCs w:val="32"/>
          <w14:textFill>
            <w14:solidFill>
              <w14:schemeClr w14:val="tx1"/>
            </w14:solidFill>
          </w14:textFill>
        </w:rPr>
        <w:t>学校和</w:t>
      </w:r>
      <w:r>
        <w:rPr>
          <w:rFonts w:ascii="Times New Roman" w:hAnsi="Times New Roman" w:eastAsia="仿宋_GB2312" w:cs="Times New Roman"/>
          <w:color w:val="000000" w:themeColor="text1"/>
          <w:sz w:val="32"/>
          <w:szCs w:val="32"/>
          <w14:textFill>
            <w14:solidFill>
              <w14:schemeClr w14:val="tx1"/>
            </w14:solidFill>
          </w14:textFill>
        </w:rPr>
        <w:t>学院根据教育部、上海市及学校的相关文件精神，切实维护调剂工作的公平公正。</w:t>
      </w:r>
    </w:p>
    <w:p w14:paraId="0FF11A0A">
      <w:pPr>
        <w:widowControl/>
        <w:snapToGrid w:val="0"/>
        <w:spacing w:line="360" w:lineRule="auto"/>
        <w:ind w:firstLine="645"/>
        <w:rPr>
          <w:rFonts w:ascii="Times New Roman" w:hAnsi="Times New Roman" w:eastAsia="黑体" w:cs="Times New Roman"/>
          <w:kern w:val="0"/>
          <w:sz w:val="32"/>
          <w:szCs w:val="32"/>
          <w:highlight w:val="none"/>
        </w:rPr>
      </w:pPr>
      <w:r>
        <w:rPr>
          <w:rFonts w:hint="eastAsia" w:ascii="Times New Roman" w:hAnsi="Times New Roman" w:eastAsia="仿宋_GB2312" w:cs="Times New Roman"/>
          <w:color w:val="000000" w:themeColor="text1"/>
          <w:sz w:val="32"/>
          <w:szCs w:val="32"/>
          <w14:textFill>
            <w14:solidFill>
              <w14:schemeClr w14:val="tx1"/>
            </w14:solidFill>
          </w14:textFill>
        </w:rPr>
        <w:t>研究生</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处</w:t>
      </w:r>
      <w:r>
        <w:rPr>
          <w:rFonts w:ascii="Times New Roman" w:hAnsi="Times New Roman" w:eastAsia="仿宋_GB2312" w:cs="Times New Roman"/>
          <w:color w:val="000000" w:themeColor="text1"/>
          <w:sz w:val="32"/>
          <w:szCs w:val="32"/>
          <w:highlight w:val="none"/>
          <w14:textFill>
            <w14:solidFill>
              <w14:schemeClr w14:val="tx1"/>
            </w14:solidFill>
          </w14:textFill>
        </w:rPr>
        <w:t>电话：021-</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64163253；</w:t>
      </w:r>
      <w:r>
        <w:rPr>
          <w:rFonts w:ascii="Times New Roman" w:hAnsi="Times New Roman" w:eastAsia="仿宋_GB2312" w:cs="Times New Roman"/>
          <w:color w:val="000000" w:themeColor="text1"/>
          <w:sz w:val="32"/>
          <w:szCs w:val="32"/>
          <w:highlight w:val="none"/>
          <w14:textFill>
            <w14:solidFill>
              <w14:schemeClr w14:val="tx1"/>
            </w14:solidFill>
          </w14:textFill>
        </w:rPr>
        <w:t>校纪检监察机构联系电话：021-</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67105467</w:t>
      </w:r>
    </w:p>
    <w:p w14:paraId="3345EF3D">
      <w:pPr>
        <w:pStyle w:val="3"/>
        <w:snapToGrid w:val="0"/>
        <w:spacing w:before="0" w:line="360" w:lineRule="auto"/>
        <w:ind w:left="761"/>
        <w:rPr>
          <w:rFonts w:ascii="Times New Roman" w:hAnsi="Times New Roman" w:eastAsia="黑体" w:cs="Times New Roman"/>
          <w:highlight w:val="none"/>
          <w:lang w:eastAsia="zh-CN"/>
        </w:rPr>
      </w:pPr>
      <w:r>
        <w:rPr>
          <w:rFonts w:hint="eastAsia" w:ascii="Times New Roman" w:hAnsi="Times New Roman" w:eastAsia="黑体" w:cs="Times New Roman"/>
          <w:highlight w:val="none"/>
          <w:lang w:eastAsia="zh-CN"/>
        </w:rPr>
        <w:t>十、联系方式</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1"/>
        <w:gridCol w:w="2662"/>
        <w:gridCol w:w="2662"/>
      </w:tblGrid>
      <w:tr w14:paraId="2372E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1" w:type="dxa"/>
            <w:vAlign w:val="center"/>
          </w:tcPr>
          <w:p w14:paraId="7F49CC37">
            <w:pPr>
              <w:pStyle w:val="3"/>
              <w:snapToGrid w:val="0"/>
              <w:spacing w:before="0" w:line="360" w:lineRule="auto"/>
              <w:ind w:right="117"/>
              <w:jc w:val="center"/>
              <w:rPr>
                <w:rFonts w:hint="eastAsia" w:ascii="Times New Roman" w:hAnsi="Times New Roman" w:eastAsia="仿宋_GB2312" w:cs="Times New Roman"/>
                <w:highlight w:val="none"/>
                <w:lang w:val="en-US" w:eastAsia="zh-CN"/>
              </w:rPr>
            </w:pPr>
            <w:bookmarkStart w:id="2" w:name="_Hlk193127419"/>
            <w:r>
              <w:rPr>
                <w:rFonts w:hint="eastAsia" w:ascii="Times New Roman" w:hAnsi="Times New Roman" w:eastAsia="仿宋_GB2312" w:cs="Times New Roman"/>
                <w:highlight w:val="none"/>
                <w:lang w:val="en-US" w:eastAsia="zh-CN"/>
              </w:rPr>
              <w:t>报考专业</w:t>
            </w:r>
          </w:p>
        </w:tc>
        <w:tc>
          <w:tcPr>
            <w:tcW w:w="2662" w:type="dxa"/>
            <w:vAlign w:val="center"/>
          </w:tcPr>
          <w:p w14:paraId="5C0A13AD">
            <w:pPr>
              <w:pStyle w:val="3"/>
              <w:snapToGrid w:val="0"/>
              <w:spacing w:before="0" w:line="360" w:lineRule="auto"/>
              <w:ind w:right="117"/>
              <w:jc w:val="center"/>
              <w:rPr>
                <w:rFonts w:hint="eastAsia" w:ascii="Times New Roman" w:hAnsi="Times New Roman" w:eastAsia="仿宋_GB2312" w:cs="Times New Roman"/>
                <w:highlight w:val="none"/>
                <w:lang w:val="en-US" w:eastAsia="zh-CN"/>
              </w:rPr>
            </w:pPr>
            <w:r>
              <w:rPr>
                <w:rFonts w:hint="eastAsia" w:ascii="Times New Roman" w:hAnsi="Times New Roman" w:eastAsia="仿宋_GB2312" w:cs="Times New Roman"/>
                <w:highlight w:val="none"/>
                <w:lang w:val="en-US" w:eastAsia="zh-CN"/>
              </w:rPr>
              <w:t>金融专项</w:t>
            </w:r>
          </w:p>
        </w:tc>
        <w:tc>
          <w:tcPr>
            <w:tcW w:w="2662" w:type="dxa"/>
            <w:vAlign w:val="center"/>
          </w:tcPr>
          <w:p w14:paraId="0CF8F675">
            <w:pPr>
              <w:pStyle w:val="3"/>
              <w:snapToGrid w:val="0"/>
              <w:spacing w:before="0" w:line="360" w:lineRule="auto"/>
              <w:ind w:right="117"/>
              <w:jc w:val="center"/>
              <w:rPr>
                <w:rFonts w:hint="eastAsia" w:ascii="Times New Roman" w:hAnsi="Times New Roman" w:eastAsia="仿宋_GB2312" w:cs="Times New Roman"/>
                <w:highlight w:val="none"/>
                <w:lang w:val="en-US" w:eastAsia="zh-CN"/>
              </w:rPr>
            </w:pPr>
            <w:r>
              <w:rPr>
                <w:rFonts w:hint="eastAsia" w:ascii="Times New Roman" w:hAnsi="Times New Roman" w:eastAsia="仿宋_GB2312" w:cs="Times New Roman"/>
                <w:highlight w:val="none"/>
                <w:lang w:val="en-US" w:eastAsia="zh-CN"/>
              </w:rPr>
              <w:t>国际商务专硕</w:t>
            </w:r>
          </w:p>
        </w:tc>
      </w:tr>
      <w:tr w14:paraId="5E1D3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1" w:type="dxa"/>
            <w:vAlign w:val="center"/>
          </w:tcPr>
          <w:p w14:paraId="00AF78E4">
            <w:pPr>
              <w:pStyle w:val="3"/>
              <w:snapToGrid w:val="0"/>
              <w:spacing w:before="0" w:line="360" w:lineRule="auto"/>
              <w:ind w:right="117"/>
              <w:jc w:val="center"/>
              <w:rPr>
                <w:rFonts w:hint="eastAsia" w:ascii="Times New Roman" w:hAnsi="Times New Roman" w:eastAsia="仿宋_GB2312" w:cs="Times New Roman"/>
                <w:highlight w:val="none"/>
                <w:lang w:val="en-US" w:eastAsia="zh-CN"/>
              </w:rPr>
            </w:pPr>
            <w:r>
              <w:rPr>
                <w:rFonts w:hint="eastAsia" w:ascii="Times New Roman" w:hAnsi="Times New Roman" w:eastAsia="仿宋_GB2312" w:cs="Times New Roman"/>
                <w:highlight w:val="none"/>
                <w:lang w:val="en-US" w:eastAsia="zh-CN"/>
              </w:rPr>
              <w:t>联系人及电话</w:t>
            </w:r>
          </w:p>
        </w:tc>
        <w:tc>
          <w:tcPr>
            <w:tcW w:w="2662" w:type="dxa"/>
            <w:vAlign w:val="center"/>
          </w:tcPr>
          <w:p w14:paraId="1A1D4550">
            <w:pPr>
              <w:pStyle w:val="3"/>
              <w:snapToGrid w:val="0"/>
              <w:spacing w:before="0" w:line="360" w:lineRule="auto"/>
              <w:ind w:right="117"/>
              <w:jc w:val="center"/>
              <w:rPr>
                <w:rFonts w:hint="eastAsia" w:ascii="Times New Roman" w:hAnsi="Times New Roman" w:eastAsia="仿宋_GB2312" w:cs="Times New Roman"/>
                <w:highlight w:val="none"/>
                <w:lang w:val="en-US" w:eastAsia="zh-CN"/>
              </w:rPr>
            </w:pPr>
            <w:r>
              <w:rPr>
                <w:rFonts w:hint="eastAsia" w:ascii="Times New Roman" w:hAnsi="Times New Roman" w:eastAsia="仿宋_GB2312" w:cs="Times New Roman"/>
                <w:highlight w:val="none"/>
                <w:lang w:val="en-US" w:eastAsia="zh-CN"/>
              </w:rPr>
              <w:t>郭老师</w:t>
            </w:r>
          </w:p>
          <w:p w14:paraId="137D44FA">
            <w:pPr>
              <w:pStyle w:val="3"/>
              <w:snapToGrid w:val="0"/>
              <w:spacing w:before="0" w:line="360" w:lineRule="auto"/>
              <w:ind w:right="117"/>
              <w:jc w:val="center"/>
              <w:rPr>
                <w:rFonts w:hint="eastAsia" w:ascii="Times New Roman" w:hAnsi="Times New Roman" w:eastAsia="仿宋_GB2312" w:cs="Times New Roman"/>
                <w:highlight w:val="none"/>
                <w:lang w:val="en-US" w:eastAsia="zh-CN"/>
              </w:rPr>
            </w:pPr>
            <w:r>
              <w:rPr>
                <w:rFonts w:hint="eastAsia" w:ascii="Times New Roman" w:hAnsi="Times New Roman" w:eastAsia="仿宋_GB2312" w:cs="Times New Roman"/>
                <w:highlight w:val="none"/>
                <w:lang w:val="en-US" w:eastAsia="zh-CN"/>
              </w:rPr>
              <w:t>021-37190256</w:t>
            </w:r>
          </w:p>
        </w:tc>
        <w:tc>
          <w:tcPr>
            <w:tcW w:w="2662" w:type="dxa"/>
            <w:vAlign w:val="center"/>
          </w:tcPr>
          <w:p w14:paraId="17E190DE">
            <w:pPr>
              <w:pStyle w:val="3"/>
              <w:snapToGrid w:val="0"/>
              <w:spacing w:before="0" w:line="360" w:lineRule="auto"/>
              <w:ind w:right="117"/>
              <w:jc w:val="center"/>
              <w:rPr>
                <w:rFonts w:hint="eastAsia" w:ascii="Times New Roman" w:hAnsi="Times New Roman" w:eastAsia="仿宋_GB2312" w:cs="Times New Roman"/>
                <w:highlight w:val="none"/>
                <w:lang w:val="en-US" w:eastAsia="zh-CN"/>
              </w:rPr>
            </w:pPr>
            <w:r>
              <w:rPr>
                <w:rFonts w:hint="eastAsia" w:ascii="Times New Roman" w:hAnsi="Times New Roman" w:eastAsia="仿宋_GB2312" w:cs="Times New Roman"/>
                <w:highlight w:val="none"/>
                <w:lang w:val="en-US" w:eastAsia="zh-CN"/>
              </w:rPr>
              <w:t>王老师</w:t>
            </w:r>
          </w:p>
          <w:p w14:paraId="3055D469">
            <w:pPr>
              <w:pStyle w:val="3"/>
              <w:snapToGrid w:val="0"/>
              <w:spacing w:before="0" w:line="360" w:lineRule="auto"/>
              <w:ind w:right="117"/>
              <w:jc w:val="center"/>
              <w:rPr>
                <w:rFonts w:hint="eastAsia" w:ascii="Times New Roman" w:hAnsi="Times New Roman" w:eastAsia="仿宋_GB2312" w:cs="Times New Roman"/>
                <w:highlight w:val="none"/>
                <w:lang w:val="en-US" w:eastAsia="zh-CN"/>
              </w:rPr>
            </w:pPr>
            <w:r>
              <w:rPr>
                <w:rFonts w:hint="eastAsia" w:ascii="Times New Roman" w:hAnsi="Times New Roman" w:eastAsia="仿宋_GB2312" w:cs="Times New Roman"/>
                <w:highlight w:val="none"/>
                <w:lang w:val="en-US" w:eastAsia="zh-CN"/>
              </w:rPr>
              <w:t>021-64163278</w:t>
            </w:r>
          </w:p>
        </w:tc>
      </w:tr>
      <w:tr w14:paraId="4A7FA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1" w:type="dxa"/>
            <w:vAlign w:val="center"/>
          </w:tcPr>
          <w:p w14:paraId="02852E0A">
            <w:pPr>
              <w:pStyle w:val="3"/>
              <w:snapToGrid w:val="0"/>
              <w:spacing w:before="0" w:line="360" w:lineRule="auto"/>
              <w:ind w:right="117"/>
              <w:jc w:val="center"/>
              <w:rPr>
                <w:rFonts w:hint="eastAsia" w:ascii="Times New Roman" w:hAnsi="Times New Roman" w:eastAsia="仿宋_GB2312" w:cs="Times New Roman"/>
                <w:highlight w:val="none"/>
                <w:lang w:val="en-US" w:eastAsia="zh-CN"/>
              </w:rPr>
            </w:pPr>
            <w:r>
              <w:rPr>
                <w:rFonts w:hint="eastAsia" w:ascii="Times New Roman" w:hAnsi="Times New Roman" w:eastAsia="仿宋_GB2312" w:cs="Times New Roman"/>
                <w:highlight w:val="none"/>
                <w:lang w:val="en-US" w:eastAsia="zh-CN"/>
              </w:rPr>
              <w:t>联系邮箱</w:t>
            </w:r>
          </w:p>
        </w:tc>
        <w:tc>
          <w:tcPr>
            <w:tcW w:w="5324" w:type="dxa"/>
            <w:gridSpan w:val="2"/>
            <w:vAlign w:val="center"/>
          </w:tcPr>
          <w:p w14:paraId="1617E4CA">
            <w:pPr>
              <w:pStyle w:val="3"/>
              <w:snapToGrid w:val="0"/>
              <w:spacing w:before="0" w:line="360" w:lineRule="auto"/>
              <w:ind w:right="117"/>
              <w:jc w:val="center"/>
              <w:rPr>
                <w:rFonts w:hint="eastAsia" w:ascii="Times New Roman" w:hAnsi="Times New Roman" w:eastAsia="仿宋_GB2312" w:cs="Times New Roman"/>
                <w:highlight w:val="none"/>
                <w:lang w:val="en-US" w:eastAsia="zh-CN"/>
              </w:rPr>
            </w:pPr>
            <w:r>
              <w:rPr>
                <w:rFonts w:hint="eastAsia" w:ascii="Times New Roman" w:hAnsi="Times New Roman" w:eastAsia="仿宋_GB2312" w:cs="Times New Roman"/>
                <w:highlight w:val="none"/>
                <w:lang w:val="en-US" w:eastAsia="zh-CN"/>
              </w:rPr>
              <w:t>swjjxy@sbs.edu.cn</w:t>
            </w:r>
          </w:p>
        </w:tc>
      </w:tr>
      <w:tr w14:paraId="68B6F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11" w:type="dxa"/>
            <w:vAlign w:val="center"/>
          </w:tcPr>
          <w:p w14:paraId="7A9A9FE6">
            <w:pPr>
              <w:pStyle w:val="3"/>
              <w:snapToGrid w:val="0"/>
              <w:spacing w:before="0" w:line="360" w:lineRule="auto"/>
              <w:ind w:right="117"/>
              <w:jc w:val="center"/>
              <w:rPr>
                <w:rFonts w:hint="eastAsia" w:ascii="Times New Roman" w:hAnsi="Times New Roman" w:eastAsia="仿宋_GB2312" w:cs="Times New Roman"/>
                <w:highlight w:val="none"/>
                <w:lang w:val="en-US" w:eastAsia="zh-CN"/>
              </w:rPr>
            </w:pPr>
            <w:r>
              <w:rPr>
                <w:rFonts w:hint="eastAsia" w:ascii="Times New Roman" w:hAnsi="Times New Roman" w:eastAsia="仿宋_GB2312" w:cs="Times New Roman"/>
                <w:highlight w:val="none"/>
                <w:lang w:val="en-US" w:eastAsia="zh-CN"/>
              </w:rPr>
              <w:t>学院网址</w:t>
            </w:r>
          </w:p>
        </w:tc>
        <w:tc>
          <w:tcPr>
            <w:tcW w:w="5324" w:type="dxa"/>
            <w:gridSpan w:val="2"/>
            <w:vAlign w:val="center"/>
          </w:tcPr>
          <w:p w14:paraId="47959BC1">
            <w:pPr>
              <w:pStyle w:val="3"/>
              <w:snapToGrid w:val="0"/>
              <w:spacing w:before="0" w:line="360" w:lineRule="auto"/>
              <w:ind w:right="117"/>
              <w:jc w:val="center"/>
              <w:rPr>
                <w:rFonts w:hint="eastAsia" w:ascii="Times New Roman" w:hAnsi="Times New Roman" w:eastAsia="仿宋_GB2312" w:cs="Times New Roman"/>
                <w:highlight w:val="none"/>
                <w:lang w:val="en-US" w:eastAsia="zh-CN"/>
              </w:rPr>
            </w:pPr>
            <w:r>
              <w:rPr>
                <w:rFonts w:hint="eastAsia" w:ascii="Times New Roman" w:hAnsi="Times New Roman" w:eastAsia="仿宋_GB2312" w:cs="Times New Roman"/>
                <w:highlight w:val="none"/>
                <w:lang w:val="en-US" w:eastAsia="zh-CN"/>
              </w:rPr>
              <w:t>https://swjjxy.sbs.edu.cn/</w:t>
            </w:r>
          </w:p>
        </w:tc>
      </w:tr>
      <w:bookmarkEnd w:id="2"/>
    </w:tbl>
    <w:p w14:paraId="03C4CAEB">
      <w:pPr>
        <w:widowControl/>
        <w:snapToGrid w:val="0"/>
        <w:spacing w:line="360" w:lineRule="auto"/>
        <w:ind w:firstLine="645"/>
        <w:rPr>
          <w:rFonts w:ascii="Times New Roman" w:hAnsi="Times New Roman" w:eastAsia="黑体" w:cs="Times New Roman"/>
          <w:kern w:val="0"/>
          <w:sz w:val="32"/>
          <w:szCs w:val="32"/>
          <w:highlight w:val="none"/>
        </w:rPr>
      </w:pPr>
      <w:r>
        <w:rPr>
          <w:rFonts w:hint="eastAsia" w:ascii="Times New Roman" w:hAnsi="Times New Roman" w:eastAsia="黑体" w:cs="Times New Roman"/>
          <w:kern w:val="0"/>
          <w:sz w:val="32"/>
          <w:szCs w:val="32"/>
          <w:highlight w:val="none"/>
        </w:rPr>
        <w:t>十一</w:t>
      </w:r>
      <w:r>
        <w:rPr>
          <w:rFonts w:ascii="Times New Roman" w:hAnsi="Times New Roman" w:eastAsia="黑体" w:cs="Times New Roman"/>
          <w:kern w:val="0"/>
          <w:sz w:val="32"/>
          <w:szCs w:val="32"/>
          <w:highlight w:val="none"/>
        </w:rPr>
        <w:t>、其他</w:t>
      </w:r>
    </w:p>
    <w:p w14:paraId="58F4A042">
      <w:pPr>
        <w:widowControl/>
        <w:snapToGrid w:val="0"/>
        <w:spacing w:line="360" w:lineRule="auto"/>
        <w:ind w:firstLine="645"/>
        <w:rPr>
          <w:rFonts w:ascii="Times New Roman" w:hAnsi="Times New Roman" w:eastAsia="仿宋_GB2312" w:cs="Times New Roman"/>
          <w:color w:val="000000" w:themeColor="text1"/>
          <w:sz w:val="32"/>
          <w:szCs w:val="32"/>
          <w:highlight w:val="none"/>
          <w14:textFill>
            <w14:solidFill>
              <w14:schemeClr w14:val="tx1"/>
            </w14:solidFill>
          </w14:textFill>
        </w:rPr>
      </w:pPr>
      <w:r>
        <w:rPr>
          <w:rFonts w:ascii="Times New Roman" w:hAnsi="Times New Roman" w:eastAsia="仿宋_GB2312" w:cs="Times New Roman"/>
          <w:color w:val="000000" w:themeColor="text1"/>
          <w:sz w:val="32"/>
          <w:szCs w:val="32"/>
          <w:highlight w:val="none"/>
          <w14:textFill>
            <w14:solidFill>
              <w14:schemeClr w14:val="tx1"/>
            </w14:solidFill>
          </w14:textFill>
        </w:rPr>
        <w:t>本细则由</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商务经济</w:t>
      </w:r>
      <w:r>
        <w:rPr>
          <w:rFonts w:ascii="Times New Roman" w:hAnsi="Times New Roman" w:eastAsia="仿宋_GB2312" w:cs="Times New Roman"/>
          <w:color w:val="000000" w:themeColor="text1"/>
          <w:sz w:val="32"/>
          <w:szCs w:val="32"/>
          <w:highlight w:val="none"/>
          <w14:textFill>
            <w14:solidFill>
              <w14:schemeClr w14:val="tx1"/>
            </w14:solidFill>
          </w14:textFill>
        </w:rPr>
        <w:t>学院研究生招生工作领导小组负责解释。</w:t>
      </w:r>
    </w:p>
    <w:p w14:paraId="15A66895">
      <w:pPr>
        <w:widowControl/>
        <w:snapToGrid w:val="0"/>
        <w:spacing w:line="360" w:lineRule="auto"/>
        <w:ind w:firstLine="645"/>
        <w:rPr>
          <w:rFonts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未尽事宜以教育部《202</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6</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年全国硕士研究生招生工作管理规定》等文件和学校、学院相关规定为准。</w:t>
      </w:r>
    </w:p>
    <w:p w14:paraId="3C84CF4A">
      <w:pPr>
        <w:pStyle w:val="3"/>
        <w:snapToGrid w:val="0"/>
        <w:spacing w:before="0" w:line="360" w:lineRule="auto"/>
        <w:ind w:left="0" w:right="117" w:firstLine="640" w:firstLineChars="200"/>
        <w:jc w:val="both"/>
        <w:rPr>
          <w:rFonts w:ascii="Times New Roman" w:hAnsi="Times New Roman" w:eastAsia="黑体" w:cs="Times New Roman"/>
          <w:highlight w:val="none"/>
          <w:lang w:eastAsia="zh-CN"/>
        </w:rPr>
      </w:pPr>
      <w:r>
        <w:rPr>
          <w:rFonts w:hint="eastAsia" w:ascii="Times New Roman" w:hAnsi="Times New Roman" w:eastAsia="仿宋_GB2312" w:cs="Times New Roman"/>
          <w:color w:val="000000" w:themeColor="text1"/>
          <w:highlight w:val="none"/>
          <w:lang w:eastAsia="zh-CN"/>
          <w14:textFill>
            <w14:solidFill>
              <w14:schemeClr w14:val="tx1"/>
            </w14:solidFill>
          </w14:textFill>
        </w:rPr>
        <w:t>调剂考生的复试时间、材料提交要求、报到时间等详见商务经济学院网站（</w:t>
      </w:r>
      <w:r>
        <w:rPr>
          <w:rFonts w:ascii="Times New Roman" w:hAnsi="Times New Roman" w:eastAsia="仿宋_GB2312" w:cs="Times New Roman"/>
          <w:color w:val="000000" w:themeColor="text1"/>
          <w:highlight w:val="none"/>
          <w14:textFill>
            <w14:solidFill>
              <w14:schemeClr w14:val="tx1"/>
            </w14:solidFill>
          </w14:textFill>
        </w:rPr>
        <w:t>https://swjjxy.sbs.edu.cn/</w:t>
      </w:r>
      <w:r>
        <w:rPr>
          <w:rFonts w:hint="eastAsia" w:ascii="Times New Roman" w:hAnsi="Times New Roman" w:eastAsia="仿宋_GB2312" w:cs="Times New Roman"/>
          <w:color w:val="000000" w:themeColor="text1"/>
          <w:highlight w:val="none"/>
          <w:lang w:eastAsia="zh-CN"/>
          <w14:textFill>
            <w14:solidFill>
              <w14:schemeClr w14:val="tx1"/>
            </w14:solidFill>
          </w14:textFill>
        </w:rPr>
        <w:t>）通知。</w:t>
      </w:r>
    </w:p>
    <w:p w14:paraId="42797F6E">
      <w:pPr>
        <w:snapToGrid w:val="0"/>
        <w:spacing w:line="360" w:lineRule="auto"/>
        <w:ind w:firstLine="320" w:firstLineChars="100"/>
        <w:jc w:val="left"/>
        <w:rPr>
          <w:rFonts w:hint="eastAsia" w:ascii="仿宋_GB2312" w:eastAsia="仿宋_GB2312"/>
          <w:color w:val="000000" w:themeColor="text1"/>
          <w:sz w:val="32"/>
          <w:szCs w:val="32"/>
          <w14:textFill>
            <w14:solidFill>
              <w14:schemeClr w14:val="tx1"/>
            </w14:solidFill>
          </w14:textFill>
        </w:rPr>
      </w:pPr>
    </w:p>
    <w:p w14:paraId="044CA013">
      <w:pPr>
        <w:snapToGrid w:val="0"/>
        <w:spacing w:line="360" w:lineRule="auto"/>
        <w:jc w:val="left"/>
        <w:rPr>
          <w:rFonts w:hint="eastAsia" w:ascii="仿宋_GB2312" w:eastAsia="仿宋_GB2312"/>
          <w:color w:val="000000" w:themeColor="text1"/>
          <w:sz w:val="32"/>
          <w:szCs w:val="32"/>
          <w14:textFill>
            <w14:solidFill>
              <w14:schemeClr w14:val="tx1"/>
            </w14:solidFill>
          </w14:textFill>
        </w:rPr>
      </w:pPr>
    </w:p>
    <w:p w14:paraId="5E9832CF">
      <w:pPr>
        <w:snapToGrid w:val="0"/>
        <w:spacing w:line="360" w:lineRule="auto"/>
        <w:ind w:firstLine="320" w:firstLineChars="100"/>
        <w:jc w:val="left"/>
        <w:rPr>
          <w:rFonts w:ascii="方正小标宋_GBK" w:hAnsi="华文中宋" w:eastAsia="方正小标宋_GBK"/>
          <w:sz w:val="36"/>
        </w:rPr>
      </w:pPr>
      <w:r>
        <w:rPr>
          <w:rFonts w:hint="eastAsia" w:ascii="仿宋_GB2312" w:eastAsia="仿宋_GB2312"/>
          <w:color w:val="000000" w:themeColor="text1"/>
          <w:sz w:val="32"/>
          <w:szCs w:val="32"/>
          <w14:textFill>
            <w14:solidFill>
              <w14:schemeClr w14:val="tx1"/>
            </w14:solidFill>
          </w14:textFill>
        </w:rPr>
        <w:t>附件：《诚信复试承诺书》</w:t>
      </w:r>
    </w:p>
    <w:p w14:paraId="5445571D">
      <w:pPr>
        <w:spacing w:line="360" w:lineRule="auto"/>
        <w:jc w:val="center"/>
        <w:rPr>
          <w:rFonts w:ascii="华文中宋" w:hAnsi="华文中宋" w:eastAsia="华文中宋" w:cs="华文中宋"/>
          <w:color w:val="000000" w:themeColor="text1"/>
          <w:sz w:val="36"/>
          <w:szCs w:val="36"/>
          <w14:textFill>
            <w14:solidFill>
              <w14:schemeClr w14:val="tx1"/>
            </w14:solidFill>
          </w14:textFill>
        </w:rPr>
      </w:pPr>
      <w:r>
        <w:rPr>
          <w:rFonts w:hint="eastAsia" w:ascii="华文中宋" w:hAnsi="华文中宋" w:eastAsia="华文中宋" w:cs="华文中宋"/>
          <w:color w:val="000000" w:themeColor="text1"/>
          <w:sz w:val="36"/>
          <w:szCs w:val="36"/>
          <w14:textFill>
            <w14:solidFill>
              <w14:schemeClr w14:val="tx1"/>
            </w14:solidFill>
          </w14:textFill>
        </w:rPr>
        <w:t>附件 上海商学院202</w:t>
      </w:r>
      <w:r>
        <w:rPr>
          <w:rFonts w:hint="eastAsia" w:ascii="华文中宋" w:hAnsi="华文中宋" w:eastAsia="华文中宋" w:cs="华文中宋"/>
          <w:color w:val="000000" w:themeColor="text1"/>
          <w:sz w:val="36"/>
          <w:szCs w:val="36"/>
          <w:lang w:val="en-US" w:eastAsia="zh-CN"/>
          <w14:textFill>
            <w14:solidFill>
              <w14:schemeClr w14:val="tx1"/>
            </w14:solidFill>
          </w14:textFill>
        </w:rPr>
        <w:t>6</w:t>
      </w:r>
      <w:r>
        <w:rPr>
          <w:rFonts w:hint="eastAsia" w:ascii="华文中宋" w:hAnsi="华文中宋" w:eastAsia="华文中宋" w:cs="华文中宋"/>
          <w:color w:val="000000" w:themeColor="text1"/>
          <w:sz w:val="36"/>
          <w:szCs w:val="36"/>
          <w14:textFill>
            <w14:solidFill>
              <w14:schemeClr w14:val="tx1"/>
            </w14:solidFill>
          </w14:textFill>
        </w:rPr>
        <w:t>年硕士研究生招生考生诚信复试承诺书</w:t>
      </w:r>
    </w:p>
    <w:p w14:paraId="713B277E">
      <w:pPr>
        <w:spacing w:line="360" w:lineRule="auto"/>
      </w:pPr>
    </w:p>
    <w:p w14:paraId="3CDB13B4">
      <w:pPr>
        <w:spacing w:line="360" w:lineRule="auto"/>
        <w:ind w:firstLine="645"/>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我是参加上海商学院202</w:t>
      </w:r>
      <w:r>
        <w:rPr>
          <w:rFonts w:hint="eastAsia" w:ascii="仿宋_GB2312" w:eastAsia="仿宋_GB2312"/>
          <w:color w:val="000000" w:themeColor="text1"/>
          <w:sz w:val="32"/>
          <w:szCs w:val="32"/>
          <w:lang w:val="en-US" w:eastAsia="zh-CN"/>
          <w14:textFill>
            <w14:solidFill>
              <w14:schemeClr w14:val="tx1"/>
            </w14:solidFill>
          </w14:textFill>
        </w:rPr>
        <w:t>6</w:t>
      </w:r>
      <w:r>
        <w:rPr>
          <w:rFonts w:hint="eastAsia" w:ascii="仿宋_GB2312" w:eastAsia="仿宋_GB2312"/>
          <w:color w:val="000000" w:themeColor="text1"/>
          <w:sz w:val="32"/>
          <w:szCs w:val="32"/>
          <w14:textFill>
            <w14:solidFill>
              <w14:schemeClr w14:val="tx1"/>
            </w14:solidFill>
          </w14:textFill>
        </w:rPr>
        <w:t>年硕士研究生招生复试考核的考生。</w:t>
      </w:r>
    </w:p>
    <w:p w14:paraId="245D43AD">
      <w:pPr>
        <w:spacing w:line="360" w:lineRule="auto"/>
        <w:ind w:firstLine="645"/>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我郑重承诺：</w:t>
      </w:r>
    </w:p>
    <w:p w14:paraId="6A1AE95C">
      <w:pPr>
        <w:spacing w:line="360" w:lineRule="auto"/>
        <w:ind w:firstLine="645"/>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一、我知道复试考核是招生选拔的重要组成部分，将自觉接受《国家教育考试违规处理办法》</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《普通高等学校招生违规行为处理暂行办法》</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《202</w:t>
      </w:r>
      <w:r>
        <w:rPr>
          <w:rFonts w:hint="eastAsia" w:ascii="仿宋_GB2312" w:eastAsia="仿宋_GB2312"/>
          <w:color w:val="000000" w:themeColor="text1"/>
          <w:sz w:val="32"/>
          <w:szCs w:val="32"/>
          <w:lang w:val="en-US" w:eastAsia="zh-CN"/>
          <w14:textFill>
            <w14:solidFill>
              <w14:schemeClr w14:val="tx1"/>
            </w14:solidFill>
          </w14:textFill>
        </w:rPr>
        <w:t>6</w:t>
      </w:r>
      <w:r>
        <w:rPr>
          <w:rFonts w:hint="eastAsia" w:ascii="仿宋_GB2312" w:eastAsia="仿宋_GB2312"/>
          <w:color w:val="000000" w:themeColor="text1"/>
          <w:sz w:val="32"/>
          <w:szCs w:val="32"/>
          <w14:textFill>
            <w14:solidFill>
              <w14:schemeClr w14:val="tx1"/>
            </w14:solidFill>
          </w14:textFill>
        </w:rPr>
        <w:t>年全国硕士研究生招生工作管理规定》和相关法律法规的约束，独立应考，诚信答题，绝不作弊。</w:t>
      </w:r>
    </w:p>
    <w:p w14:paraId="2EB4F8B6">
      <w:pPr>
        <w:spacing w:line="360" w:lineRule="auto"/>
        <w:ind w:firstLine="645"/>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二、我已认真阅读《上海商学院202</w:t>
      </w:r>
      <w:r>
        <w:rPr>
          <w:rFonts w:hint="eastAsia" w:ascii="仿宋_GB2312" w:eastAsia="仿宋_GB2312"/>
          <w:color w:val="000000" w:themeColor="text1"/>
          <w:sz w:val="32"/>
          <w:szCs w:val="32"/>
          <w:lang w:val="en-US" w:eastAsia="zh-CN"/>
          <w14:textFill>
            <w14:solidFill>
              <w14:schemeClr w14:val="tx1"/>
            </w14:solidFill>
          </w14:textFill>
        </w:rPr>
        <w:t>6</w:t>
      </w:r>
      <w:r>
        <w:rPr>
          <w:rFonts w:hint="eastAsia" w:ascii="仿宋_GB2312" w:eastAsia="仿宋_GB2312"/>
          <w:color w:val="000000" w:themeColor="text1"/>
          <w:sz w:val="32"/>
          <w:szCs w:val="32"/>
          <w14:textFill>
            <w14:solidFill>
              <w14:schemeClr w14:val="tx1"/>
            </w14:solidFill>
          </w14:textFill>
        </w:rPr>
        <w:t>年硕士研究生招生复试考场规则》和学院复试工作细则等文件，知悉并将严格遵守其中对考生的要求。</w:t>
      </w:r>
    </w:p>
    <w:p w14:paraId="11E93E7B">
      <w:pPr>
        <w:spacing w:line="360" w:lineRule="auto"/>
        <w:ind w:firstLine="645"/>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三、我在报名阶段提交的信息真实有效，资格审查阶段如实、准确、完整地提交了报考学院要求的各项材料。</w:t>
      </w:r>
    </w:p>
    <w:p w14:paraId="02D96D1F">
      <w:pPr>
        <w:spacing w:line="360" w:lineRule="auto"/>
        <w:ind w:firstLine="645"/>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四、我将自觉服从学校和报考学院的考核安排，遵守考核要求和考场规则，主动配合工作人员按规定进行的报考资格审查。自觉维护考试秩序，不拒绝、不妨碍工作人员履行管理职责。</w:t>
      </w:r>
    </w:p>
    <w:p w14:paraId="45568FA6">
      <w:pPr>
        <w:spacing w:line="360" w:lineRule="auto"/>
        <w:ind w:firstLine="645"/>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五、考核开始前听从工作人员安排有序候场，考核结束后按要求离场。考核过程中注意仪表整洁，文明用语。不在考核过程中借助他人或相关资料，不使用通讯、电子设备。</w:t>
      </w:r>
    </w:p>
    <w:p w14:paraId="5192A3EC">
      <w:pPr>
        <w:spacing w:line="360" w:lineRule="auto"/>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六、我将严格遵守复试考核的保密要求。参加考核时不拍照、不录音、不录像、不直播，在考核过程中及本学科专业考核工作全部结束前均不以任何形式透露传播试题内容等有关情况。</w:t>
      </w:r>
    </w:p>
    <w:p w14:paraId="35117445">
      <w:pPr>
        <w:spacing w:line="360" w:lineRule="auto"/>
        <w:ind w:firstLine="645"/>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本人承诺：恪守规则，诚信考核。如果出现上述违反考核规定的行为，愿意承担由此造成的一切后果。</w:t>
      </w:r>
    </w:p>
    <w:p w14:paraId="155BCBAC">
      <w:pPr>
        <w:spacing w:line="360" w:lineRule="auto"/>
      </w:pPr>
    </w:p>
    <w:p w14:paraId="38A58869">
      <w:pPr>
        <w:spacing w:line="360" w:lineRule="auto"/>
      </w:pPr>
    </w:p>
    <w:p w14:paraId="27A26390">
      <w:pPr>
        <w:spacing w:line="360" w:lineRule="auto"/>
      </w:pPr>
    </w:p>
    <w:p w14:paraId="6CC145AF">
      <w:pPr>
        <w:spacing w:line="360" w:lineRule="auto"/>
        <w:ind w:left="68"/>
        <w:rPr>
          <w:rFonts w:ascii="仿宋" w:hAnsi="仿宋" w:eastAsia="仿宋" w:cs="仿宋"/>
          <w:sz w:val="30"/>
          <w:szCs w:val="30"/>
        </w:rPr>
      </w:pPr>
      <w:r>
        <w:rPr>
          <w:rFonts w:hint="eastAsia" w:ascii="仿宋_GB2312" w:eastAsia="仿宋_GB2312"/>
          <w:color w:val="000000" w:themeColor="text1"/>
          <w:sz w:val="32"/>
          <w:szCs w:val="32"/>
          <w14:textFill>
            <w14:solidFill>
              <w14:schemeClr w14:val="tx1"/>
            </w14:solidFill>
          </w14:textFill>
        </w:rPr>
        <w:t>签名：</w:t>
      </w:r>
      <w:r>
        <w:rPr>
          <w:rFonts w:ascii="仿宋" w:hAnsi="仿宋" w:eastAsia="仿宋" w:cs="仿宋"/>
          <w:spacing w:val="-14"/>
          <w:sz w:val="30"/>
          <w:szCs w:val="30"/>
          <w:u w:val="single"/>
        </w:rPr>
        <w:t xml:space="preserve">  </w:t>
      </w:r>
      <w:r>
        <w:rPr>
          <w:rFonts w:ascii="仿宋" w:hAnsi="仿宋" w:eastAsia="仿宋" w:cs="仿宋"/>
          <w:spacing w:val="-7"/>
          <w:sz w:val="30"/>
          <w:szCs w:val="30"/>
          <w:u w:val="single"/>
        </w:rPr>
        <w:t xml:space="preserve">                  </w:t>
      </w:r>
      <w:r>
        <w:rPr>
          <w:rFonts w:hint="eastAsia" w:ascii="仿宋_GB2312" w:eastAsia="仿宋_GB2312"/>
          <w:color w:val="000000" w:themeColor="text1"/>
          <w:sz w:val="32"/>
          <w:szCs w:val="32"/>
          <w14:textFill>
            <w14:solidFill>
              <w14:schemeClr w14:val="tx1"/>
            </w14:solidFill>
          </w14:textFill>
        </w:rPr>
        <w:t>日期：202</w:t>
      </w:r>
      <w:r>
        <w:rPr>
          <w:rFonts w:hint="eastAsia" w:ascii="仿宋_GB2312" w:eastAsia="仿宋_GB2312"/>
          <w:color w:val="000000" w:themeColor="text1"/>
          <w:sz w:val="32"/>
          <w:szCs w:val="32"/>
          <w:lang w:val="en-US" w:eastAsia="zh-CN"/>
          <w14:textFill>
            <w14:solidFill>
              <w14:schemeClr w14:val="tx1"/>
            </w14:solidFill>
          </w14:textFill>
        </w:rPr>
        <w:t>6</w:t>
      </w:r>
      <w:r>
        <w:rPr>
          <w:rFonts w:hint="eastAsia" w:ascii="仿宋_GB2312" w:eastAsia="仿宋_GB2312"/>
          <w:color w:val="000000" w:themeColor="text1"/>
          <w:sz w:val="32"/>
          <w:szCs w:val="32"/>
          <w14:textFill>
            <w14:solidFill>
              <w14:schemeClr w14:val="tx1"/>
            </w14:solidFill>
          </w14:textFill>
        </w:rPr>
        <w:t xml:space="preserve"> 年 </w:t>
      </w:r>
      <w:r>
        <w:rPr>
          <w:rFonts w:ascii="仿宋" w:hAnsi="仿宋" w:eastAsia="仿宋" w:cs="仿宋"/>
          <w:spacing w:val="-7"/>
          <w:sz w:val="32"/>
          <w:szCs w:val="32"/>
          <w:u w:val="single"/>
        </w:rPr>
        <w:t xml:space="preserve"> </w:t>
      </w:r>
      <w:r>
        <w:rPr>
          <w:rFonts w:hint="eastAsia" w:ascii="仿宋" w:hAnsi="仿宋" w:eastAsia="仿宋" w:cs="仿宋"/>
          <w:spacing w:val="-7"/>
          <w:sz w:val="32"/>
          <w:szCs w:val="32"/>
          <w:u w:val="single"/>
        </w:rPr>
        <w:t xml:space="preserve"> </w:t>
      </w:r>
      <w:r>
        <w:rPr>
          <w:rFonts w:ascii="仿宋" w:hAnsi="仿宋" w:eastAsia="仿宋" w:cs="仿宋"/>
          <w:spacing w:val="-7"/>
          <w:sz w:val="32"/>
          <w:szCs w:val="32"/>
          <w:u w:val="single"/>
        </w:rPr>
        <w:t xml:space="preserve"> </w:t>
      </w:r>
      <w:r>
        <w:rPr>
          <w:rFonts w:ascii="仿宋" w:hAnsi="仿宋" w:eastAsia="仿宋" w:cs="仿宋"/>
          <w:spacing w:val="-7"/>
          <w:sz w:val="32"/>
          <w:szCs w:val="32"/>
        </w:rPr>
        <w:t xml:space="preserve"> </w:t>
      </w:r>
      <w:r>
        <w:rPr>
          <w:rFonts w:hint="eastAsia" w:ascii="仿宋_GB2312" w:eastAsia="仿宋_GB2312"/>
          <w:color w:val="000000" w:themeColor="text1"/>
          <w:sz w:val="32"/>
          <w:szCs w:val="32"/>
          <w14:textFill>
            <w14:solidFill>
              <w14:schemeClr w14:val="tx1"/>
            </w14:solidFill>
          </w14:textFill>
        </w:rPr>
        <w:t>月</w:t>
      </w:r>
      <w:r>
        <w:rPr>
          <w:rFonts w:ascii="仿宋" w:hAnsi="仿宋" w:eastAsia="仿宋" w:cs="仿宋"/>
          <w:spacing w:val="-7"/>
          <w:sz w:val="32"/>
          <w:szCs w:val="32"/>
          <w:u w:val="single"/>
        </w:rPr>
        <w:t xml:space="preserve">   </w:t>
      </w:r>
      <w:r>
        <w:rPr>
          <w:rFonts w:ascii="仿宋" w:hAnsi="仿宋" w:eastAsia="仿宋" w:cs="仿宋"/>
          <w:spacing w:val="-7"/>
          <w:sz w:val="32"/>
          <w:szCs w:val="32"/>
        </w:rPr>
        <w:t xml:space="preserve"> 日</w:t>
      </w:r>
    </w:p>
    <w:p w14:paraId="223C3D33">
      <w:pPr>
        <w:widowControl/>
        <w:spacing w:line="360" w:lineRule="auto"/>
        <w:ind w:firstLine="645"/>
        <w:rPr>
          <w:rFonts w:ascii="Times New Roman" w:hAnsi="Times New Roman" w:eastAsia="仿宋_GB2312" w:cs="Times New Roman"/>
          <w:color w:val="000000" w:themeColor="text1"/>
          <w:sz w:val="32"/>
          <w:szCs w:val="32"/>
          <w14:textFill>
            <w14:solidFill>
              <w14:schemeClr w14:val="tx1"/>
            </w14:solidFill>
          </w14:textFill>
        </w:rPr>
      </w:pPr>
    </w:p>
    <w:p w14:paraId="3B3ECC72">
      <w:pPr>
        <w:widowControl/>
        <w:spacing w:line="360" w:lineRule="auto"/>
        <w:ind w:firstLine="645"/>
        <w:rPr>
          <w:rFonts w:ascii="Times New Roman" w:hAnsi="Times New Roman" w:eastAsia="仿宋_GB2312" w:cs="Times New Roman"/>
          <w:color w:val="000000" w:themeColor="text1"/>
          <w:sz w:val="32"/>
          <w:szCs w:val="32"/>
          <w14:textFill>
            <w14:solidFill>
              <w14:schemeClr w14:val="tx1"/>
            </w14:solidFill>
          </w14:textFill>
        </w:rPr>
      </w:pPr>
    </w:p>
    <w:p w14:paraId="0E35529D">
      <w:pPr>
        <w:widowControl/>
        <w:spacing w:line="360" w:lineRule="auto"/>
        <w:ind w:firstLine="645"/>
        <w:rPr>
          <w:rFonts w:ascii="Times New Roman" w:hAnsi="Times New Roman" w:eastAsia="仿宋_GB2312" w:cs="Times New Roman"/>
          <w:color w:val="000000" w:themeColor="text1"/>
          <w:sz w:val="32"/>
          <w:szCs w:val="32"/>
          <w14:textFill>
            <w14:solidFill>
              <w14:schemeClr w14:val="tx1"/>
            </w14:solidFill>
          </w14:textFill>
        </w:rPr>
      </w:pPr>
    </w:p>
    <w:p w14:paraId="24B857C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8E9F08"/>
    <w:multiLevelType w:val="singleLevel"/>
    <w:tmpl w:val="958E9F0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2F5A"/>
    <w:rsid w:val="000C0718"/>
    <w:rsid w:val="00167AF1"/>
    <w:rsid w:val="001732B4"/>
    <w:rsid w:val="00180856"/>
    <w:rsid w:val="001E2D24"/>
    <w:rsid w:val="002441C6"/>
    <w:rsid w:val="00287F11"/>
    <w:rsid w:val="002E72E0"/>
    <w:rsid w:val="00304AD9"/>
    <w:rsid w:val="00341A60"/>
    <w:rsid w:val="003B0CF8"/>
    <w:rsid w:val="00413378"/>
    <w:rsid w:val="00482F5A"/>
    <w:rsid w:val="004E03A7"/>
    <w:rsid w:val="005B0529"/>
    <w:rsid w:val="005D22CB"/>
    <w:rsid w:val="005D4823"/>
    <w:rsid w:val="006151C9"/>
    <w:rsid w:val="006653DA"/>
    <w:rsid w:val="007403AB"/>
    <w:rsid w:val="00746D98"/>
    <w:rsid w:val="007A0DA7"/>
    <w:rsid w:val="008842DB"/>
    <w:rsid w:val="008C0BAB"/>
    <w:rsid w:val="008E1C7F"/>
    <w:rsid w:val="00A50DF2"/>
    <w:rsid w:val="00B7485C"/>
    <w:rsid w:val="00BE3E3F"/>
    <w:rsid w:val="00BE6A26"/>
    <w:rsid w:val="00BF5A44"/>
    <w:rsid w:val="00C43827"/>
    <w:rsid w:val="00C852DE"/>
    <w:rsid w:val="00CE0F18"/>
    <w:rsid w:val="00CE102D"/>
    <w:rsid w:val="00CF0256"/>
    <w:rsid w:val="00D678A4"/>
    <w:rsid w:val="00D91AF7"/>
    <w:rsid w:val="00DA212D"/>
    <w:rsid w:val="00DA7481"/>
    <w:rsid w:val="00E96CE1"/>
    <w:rsid w:val="00EF340A"/>
    <w:rsid w:val="00F87088"/>
    <w:rsid w:val="00FE4960"/>
    <w:rsid w:val="035B751F"/>
    <w:rsid w:val="03F713C0"/>
    <w:rsid w:val="08D55106"/>
    <w:rsid w:val="09102B5A"/>
    <w:rsid w:val="09D65B51"/>
    <w:rsid w:val="107C6D27"/>
    <w:rsid w:val="17E938AE"/>
    <w:rsid w:val="181635BD"/>
    <w:rsid w:val="1BEA548C"/>
    <w:rsid w:val="1D5255A7"/>
    <w:rsid w:val="21CB71C6"/>
    <w:rsid w:val="224F6049"/>
    <w:rsid w:val="2F8C7B5D"/>
    <w:rsid w:val="320D0792"/>
    <w:rsid w:val="33174961"/>
    <w:rsid w:val="34920288"/>
    <w:rsid w:val="366C4FC4"/>
    <w:rsid w:val="3B2C4D22"/>
    <w:rsid w:val="3E8F6626"/>
    <w:rsid w:val="453E6974"/>
    <w:rsid w:val="46841EB6"/>
    <w:rsid w:val="47797541"/>
    <w:rsid w:val="479E0D55"/>
    <w:rsid w:val="47AA0FCB"/>
    <w:rsid w:val="4910358D"/>
    <w:rsid w:val="53292D68"/>
    <w:rsid w:val="55F14746"/>
    <w:rsid w:val="58BE3005"/>
    <w:rsid w:val="654E158A"/>
    <w:rsid w:val="70473489"/>
    <w:rsid w:val="7148614E"/>
    <w:rsid w:val="78322C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qFormat/>
    <w:uiPriority w:val="9"/>
    <w:pPr>
      <w:autoSpaceDE w:val="0"/>
      <w:autoSpaceDN w:val="0"/>
      <w:ind w:hanging="240"/>
      <w:jc w:val="left"/>
      <w:outlineLvl w:val="0"/>
    </w:pPr>
    <w:rPr>
      <w:rFonts w:ascii="宋体" w:hAnsi="宋体" w:eastAsia="宋体" w:cs="宋体"/>
      <w:kern w:val="0"/>
      <w:sz w:val="32"/>
      <w:szCs w:val="32"/>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5"/>
    <w:autoRedefine/>
    <w:qFormat/>
    <w:uiPriority w:val="1"/>
    <w:pPr>
      <w:autoSpaceDE w:val="0"/>
      <w:autoSpaceDN w:val="0"/>
      <w:spacing w:before="31"/>
      <w:ind w:left="120"/>
      <w:jc w:val="left"/>
    </w:pPr>
    <w:rPr>
      <w:rFonts w:ascii="宋体" w:hAnsi="宋体" w:eastAsia="宋体" w:cs="宋体"/>
      <w:kern w:val="0"/>
      <w:sz w:val="32"/>
      <w:szCs w:val="32"/>
      <w:lang w:eastAsia="en-US"/>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unhideWhenUsed/>
    <w:qFormat/>
    <w:uiPriority w:val="99"/>
    <w:rPr>
      <w:color w:val="467886" w:themeColor="hyperlink"/>
      <w:u w:val="single"/>
      <w14:textFill>
        <w14:solidFill>
          <w14:schemeClr w14:val="hlink"/>
        </w14:solidFill>
      </w14:textFill>
    </w:rPr>
  </w:style>
  <w:style w:type="character" w:customStyle="1" w:styleId="11">
    <w:name w:val="页眉 字符"/>
    <w:basedOn w:val="9"/>
    <w:link w:val="5"/>
    <w:qFormat/>
    <w:uiPriority w:val="99"/>
    <w:rPr>
      <w:sz w:val="18"/>
      <w:szCs w:val="18"/>
    </w:rPr>
  </w:style>
  <w:style w:type="character" w:customStyle="1" w:styleId="12">
    <w:name w:val="页脚 字符"/>
    <w:basedOn w:val="9"/>
    <w:link w:val="4"/>
    <w:qFormat/>
    <w:uiPriority w:val="99"/>
    <w:rPr>
      <w:sz w:val="18"/>
      <w:szCs w:val="18"/>
    </w:rPr>
  </w:style>
  <w:style w:type="paragraph" w:styleId="13">
    <w:name w:val="List Paragraph"/>
    <w:basedOn w:val="1"/>
    <w:qFormat/>
    <w:uiPriority w:val="34"/>
    <w:pPr>
      <w:ind w:firstLine="420" w:firstLineChars="200"/>
    </w:pPr>
  </w:style>
  <w:style w:type="character" w:customStyle="1" w:styleId="14">
    <w:name w:val="未处理的提及1"/>
    <w:basedOn w:val="9"/>
    <w:semiHidden/>
    <w:unhideWhenUsed/>
    <w:qFormat/>
    <w:uiPriority w:val="99"/>
    <w:rPr>
      <w:color w:val="605E5C"/>
      <w:shd w:val="clear" w:color="auto" w:fill="E1DFDD"/>
    </w:rPr>
  </w:style>
  <w:style w:type="character" w:customStyle="1" w:styleId="15">
    <w:name w:val="正文文本 字符"/>
    <w:basedOn w:val="9"/>
    <w:link w:val="3"/>
    <w:qFormat/>
    <w:uiPriority w:val="1"/>
    <w:rPr>
      <w:rFonts w:ascii="宋体" w:hAnsi="宋体" w:eastAsia="宋体" w:cs="宋体"/>
      <w:kern w:val="0"/>
      <w:sz w:val="32"/>
      <w:szCs w:val="32"/>
      <w:lang w:eastAsia="en-US"/>
    </w:rPr>
  </w:style>
  <w:style w:type="paragraph" w:customStyle="1" w:styleId="16">
    <w:name w:val="21bc9c4b-6a32-43e5-beaa-fd2d792c5735"/>
    <w:basedOn w:val="2"/>
    <w:next w:val="17"/>
    <w:qFormat/>
    <w:uiPriority w:val="0"/>
    <w:pPr>
      <w:adjustRightInd w:val="0"/>
      <w:spacing w:line="288" w:lineRule="auto"/>
      <w:ind w:firstLine="0"/>
    </w:pPr>
    <w:rPr>
      <w:rFonts w:ascii="微软雅黑" w:hAnsi="微软雅黑" w:eastAsia="微软雅黑"/>
      <w:b/>
      <w:bCs/>
      <w:color w:val="000000"/>
      <w:szCs w:val="28"/>
    </w:rPr>
  </w:style>
  <w:style w:type="paragraph" w:customStyle="1" w:styleId="17">
    <w:name w:val="acbfdd8b-e11b-4d36-88ff-6049b138f862"/>
    <w:basedOn w:val="3"/>
    <w:qFormat/>
    <w:uiPriority w:val="0"/>
    <w:pPr>
      <w:adjustRightInd w:val="0"/>
      <w:spacing w:line="288" w:lineRule="auto"/>
      <w:ind w:left="0"/>
    </w:pPr>
    <w:rPr>
      <w:rFonts w:ascii="微软雅黑" w:hAnsi="微软雅黑" w:eastAsia="微软雅黑"/>
      <w:bCs/>
      <w:color w:val="000000"/>
      <w:sz w:val="22"/>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4483</Words>
  <Characters>4813</Characters>
  <Lines>35</Lines>
  <Paragraphs>9</Paragraphs>
  <TotalTime>0</TotalTime>
  <ScaleCrop>false</ScaleCrop>
  <LinksUpToDate>false</LinksUpToDate>
  <CharactersWithSpaces>4852</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2025-03-05T08:18:00Z</dcterms:created>
  <dc:creator>FENG YUE</dc:creator>
  <cp:lastModifiedBy>Vicki-零泡果奶</cp:lastModifiedBy>
  <cp:lastPrinted>2025-03-18T06:27:00Z</cp:lastPrinted>
  <dcterms:modified xsi:type="dcterms:W3CDTF">2026-03-18T08:56:26Z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eyJoZGlkIjoiMzE1NTRhZmIwYzNlNTA5MzY4NGE0ZTVmOTNhMTE1MmEiLCJ1c2VySWQiOiIyNjY3MTM1MDkifQ==</vt:lpwstr>
  </property>
  <property fmtid="{D5CDD505-2E9C-101B-9397-08002B2CF9AE}" pid="3" name="KSOProductBuildVer">
    <vt:lpwstr>2052-12.1.0.22175</vt:lpwstr>
  </property>
  <property fmtid="{D5CDD505-2E9C-101B-9397-08002B2CF9AE}" pid="4" name="ICV">
    <vt:lpwstr>99FC8BAB140D4AA1952FF33DADEDFEF0_13</vt:lpwstr>
  </property>
</Properties>
</file>