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DB60B">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酒店管理学院2026</w:t>
      </w:r>
      <w:r>
        <w:rPr>
          <w:rFonts w:ascii="Times New Roman" w:hAnsi="Times New Roman" w:eastAsia="华文中宋" w:cs="Times New Roman"/>
          <w:sz w:val="36"/>
          <w:szCs w:val="36"/>
          <w:lang w:eastAsia="zh-CN"/>
        </w:rPr>
        <w:t>年</w:t>
      </w:r>
      <w:r>
        <w:rPr>
          <w:rFonts w:hint="eastAsia" w:ascii="Times New Roman" w:hAnsi="Times New Roman" w:eastAsia="华文中宋" w:cs="Times New Roman"/>
          <w:sz w:val="36"/>
          <w:szCs w:val="36"/>
          <w:lang w:eastAsia="zh-CN"/>
        </w:rPr>
        <w:t>硕士</w:t>
      </w:r>
      <w:r>
        <w:rPr>
          <w:rFonts w:ascii="Times New Roman" w:hAnsi="Times New Roman" w:eastAsia="华文中宋" w:cs="Times New Roman"/>
          <w:sz w:val="36"/>
          <w:szCs w:val="36"/>
          <w:lang w:eastAsia="zh-CN"/>
        </w:rPr>
        <w:t>研究生招生复试</w:t>
      </w:r>
      <w:r>
        <w:rPr>
          <w:rFonts w:hint="eastAsia" w:ascii="Times New Roman" w:hAnsi="Times New Roman" w:eastAsia="华文中宋" w:cs="Times New Roman"/>
          <w:sz w:val="36"/>
          <w:szCs w:val="36"/>
          <w:lang w:eastAsia="zh-CN"/>
        </w:rPr>
        <w:t>实施细则</w:t>
      </w:r>
    </w:p>
    <w:p w14:paraId="197CC69E">
      <w:pPr>
        <w:pStyle w:val="3"/>
        <w:snapToGrid w:val="0"/>
        <w:spacing w:before="0" w:line="360" w:lineRule="auto"/>
        <w:ind w:right="117" w:firstLine="640"/>
        <w:jc w:val="both"/>
        <w:rPr>
          <w:rFonts w:ascii="Times New Roman" w:hAnsi="Times New Roman" w:eastAsia="仿宋_GB2312" w:cs="Times New Roman"/>
          <w:lang w:eastAsia="zh-CN"/>
        </w:rPr>
      </w:pPr>
    </w:p>
    <w:p w14:paraId="386D8256">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根据</w:t>
      </w:r>
      <w:r>
        <w:rPr>
          <w:rFonts w:hint="eastAsia" w:ascii="Times New Roman" w:hAnsi="Times New Roman" w:eastAsia="仿宋_GB2312" w:cs="Times New Roman"/>
          <w:lang w:eastAsia="zh-CN"/>
        </w:rPr>
        <w:t>教育部</w:t>
      </w:r>
      <w:r>
        <w:rPr>
          <w:rFonts w:ascii="Times New Roman" w:hAnsi="Times New Roman" w:eastAsia="仿宋_GB2312" w:cs="Times New Roman"/>
          <w:lang w:eastAsia="zh-CN"/>
        </w:rPr>
        <w:t>《2026年全国硕士研究生招生工作管理规定》《关于做好2026年全国硕士研究生招生复试录取工作的通知》</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上海市教育考试院有关文件和《上海商学院硕士研究生招生工作管理办法》《上海商学院2026年硕士研究生招生复试实施方案》等规定，结合学院实际，</w:t>
      </w:r>
      <w:r>
        <w:rPr>
          <w:rFonts w:hint="eastAsia" w:ascii="Times New Roman" w:hAnsi="Times New Roman" w:eastAsia="仿宋_GB2312" w:cs="Times New Roman"/>
          <w:lang w:eastAsia="zh-CN"/>
        </w:rPr>
        <w:t>特</w:t>
      </w:r>
      <w:r>
        <w:rPr>
          <w:rFonts w:ascii="Times New Roman" w:hAnsi="Times New Roman" w:eastAsia="仿宋_GB2312" w:cs="Times New Roman"/>
          <w:lang w:eastAsia="zh-CN"/>
        </w:rPr>
        <w:t>制定</w:t>
      </w:r>
      <w:r>
        <w:rPr>
          <w:rFonts w:hint="eastAsia" w:ascii="Times New Roman" w:hAnsi="Times New Roman" w:eastAsia="仿宋_GB2312" w:cs="Times New Roman"/>
          <w:lang w:eastAsia="zh-CN"/>
        </w:rPr>
        <w:t>本细则</w:t>
      </w:r>
      <w:r>
        <w:rPr>
          <w:rFonts w:ascii="Times New Roman" w:hAnsi="Times New Roman" w:eastAsia="仿宋_GB2312" w:cs="Times New Roman"/>
          <w:lang w:eastAsia="zh-CN"/>
        </w:rPr>
        <w:t>。</w:t>
      </w:r>
    </w:p>
    <w:p w14:paraId="5C2DFBE0">
      <w:pPr>
        <w:pStyle w:val="3"/>
        <w:numPr>
          <w:ilvl w:val="0"/>
          <w:numId w:val="1"/>
        </w:numPr>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指导思想</w:t>
      </w:r>
    </w:p>
    <w:p w14:paraId="6B24AA06">
      <w:pPr>
        <w:pStyle w:val="3"/>
        <w:snapToGrid w:val="0"/>
        <w:spacing w:before="0" w:line="360" w:lineRule="auto"/>
        <w:ind w:right="390" w:firstLine="479"/>
        <w:jc w:val="both"/>
        <w:rPr>
          <w:rFonts w:ascii="Times New Roman" w:hAnsi="Times New Roman" w:eastAsia="黑体" w:cs="Times New Roman"/>
          <w:lang w:eastAsia="zh-CN"/>
        </w:rPr>
      </w:pPr>
      <w:r>
        <w:rPr>
          <w:rFonts w:hint="eastAsia" w:ascii="Times New Roman" w:hAnsi="Times New Roman" w:eastAsia="仿宋_GB2312" w:cs="Times New Roman"/>
          <w:lang w:eastAsia="zh-CN"/>
        </w:rPr>
        <w:t>（一）坚持立德树人。坚持德智体美劳全面衡量，以德为先，把学生思想品德考核作为复试的重要内容和录取的重要依据。</w:t>
      </w:r>
    </w:p>
    <w:p w14:paraId="789B865D">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（二）坚持科学选拔。坚持全面考查，突出重点。坚持把考查考生综合素质和专业水平作为复试核心任务的原则，选拔具有突出创新能力、良好学术潜力和实践能力的人才。</w:t>
      </w:r>
    </w:p>
    <w:p w14:paraId="017E8411">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（三）坚持公平公正。做到政策透明、流程规范，确保质量、按需招生、择优选拔、宁缺毋滥。</w:t>
      </w:r>
    </w:p>
    <w:p w14:paraId="6D9D3167">
      <w:pPr>
        <w:pStyle w:val="3"/>
        <w:snapToGrid w:val="0"/>
        <w:spacing w:before="0" w:line="360" w:lineRule="auto"/>
        <w:ind w:right="390" w:firstLine="479"/>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（四）坚持以人为本。增强服务意识，在复试录取过程中切实做到尊重考生，服务考生，维护考生合法权益。</w:t>
      </w:r>
    </w:p>
    <w:p w14:paraId="24381A07">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黑体" w:cs="Times New Roman"/>
          <w:lang w:eastAsia="zh-CN"/>
        </w:rPr>
        <w:t>二、组织管理</w:t>
      </w:r>
    </w:p>
    <w:p w14:paraId="0B75E23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（一）学校研究生招生委员会负责学校的研究生招生复试和录取工作。</w:t>
      </w:r>
    </w:p>
    <w:p w14:paraId="5852FD7C">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（二）学校研究生招生工作监察小组对全校研究生复试工作进行全程监督。</w:t>
      </w:r>
    </w:p>
    <w:p w14:paraId="5D82C853">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学院研究生招生工作领导小组全面领导学院研究生复试工作，负责组织和协调本学院研究生复试选拔工作，审定本学院复试实施细则、复试名单、拟录取名单等，并对本学院招生工作结果负责。</w:t>
      </w:r>
    </w:p>
    <w:p w14:paraId="7A594469">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（四）学院成立研究生招生工作监察小组，并根据有关规定对学院研究生招生复试工作进行全程监督。</w:t>
      </w:r>
    </w:p>
    <w:p w14:paraId="5A1A8944">
      <w:pPr>
        <w:pStyle w:val="3"/>
        <w:snapToGrid w:val="0"/>
        <w:spacing w:before="0" w:line="360" w:lineRule="auto"/>
        <w:ind w:left="761"/>
        <w:rPr>
          <w:rFonts w:ascii="Times New Roman" w:hAnsi="Times New Roman" w:eastAsia="黑体" w:cs="Times New Roman"/>
          <w:lang w:eastAsia="zh-CN"/>
        </w:rPr>
      </w:pPr>
      <w:r>
        <w:rPr>
          <w:rFonts w:ascii="Times New Roman" w:hAnsi="Times New Roman" w:eastAsia="黑体" w:cs="Times New Roman"/>
          <w:lang w:eastAsia="zh-CN"/>
        </w:rPr>
        <w:t>三、复试方式、时间和内容</w:t>
      </w:r>
    </w:p>
    <w:p w14:paraId="4E79BC49">
      <w:pPr>
        <w:pStyle w:val="3"/>
        <w:snapToGrid w:val="0"/>
        <w:spacing w:before="0" w:line="360" w:lineRule="auto"/>
        <w:ind w:right="117" w:firstLine="640"/>
        <w:jc w:val="both"/>
        <w:rPr>
          <w:rFonts w:ascii="Times New Roman" w:hAnsi="Times New Roman" w:eastAsia="仿宋_GB2312" w:cs="Times New Roman"/>
          <w:lang w:eastAsia="zh-CN"/>
        </w:rPr>
      </w:pPr>
      <w:r>
        <w:rPr>
          <w:rFonts w:ascii="Times New Roman" w:hAnsi="Times New Roman" w:eastAsia="仿宋_GB2312" w:cs="Times New Roman"/>
          <w:lang w:eastAsia="zh-CN"/>
        </w:rPr>
        <w:t>（一）复试方式、时间</w:t>
      </w:r>
    </w:p>
    <w:p w14:paraId="71DC9192">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1.一志愿复试</w:t>
      </w:r>
    </w:p>
    <w:p w14:paraId="0227C1D8">
      <w:pPr>
        <w:pStyle w:val="3"/>
        <w:snapToGrid w:val="0"/>
        <w:spacing w:line="360" w:lineRule="auto"/>
        <w:ind w:right="117" w:firstLine="640"/>
        <w:rPr>
          <w:rFonts w:ascii="Times New Roman" w:hAnsi="Times New Roman" w:eastAsia="仿宋_GB2312" w:cs="Times New Roman"/>
          <w:lang w:eastAsia="zh-CN"/>
        </w:rPr>
      </w:pPr>
      <w:r>
        <w:rPr>
          <w:rFonts w:hint="eastAsia" w:ascii="Times New Roman" w:hAnsi="Times New Roman" w:eastAsia="仿宋_GB2312" w:cs="Times New Roman"/>
          <w:lang w:eastAsia="zh-CN"/>
        </w:rPr>
        <w:t>旅游管理专业全日制一志愿考生采取现场复试形式，资格审查及资料提交于</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年3月2</w:t>
      </w:r>
      <w:r>
        <w:rPr>
          <w:rFonts w:hint="eastAsia" w:ascii="Times New Roman" w:hAnsi="Times New Roman" w:eastAsia="仿宋_GB2312" w:cs="Times New Roman"/>
          <w:lang w:eastAsia="zh-CN"/>
        </w:rPr>
        <w:t>4</w:t>
      </w:r>
      <w:r>
        <w:rPr>
          <w:rFonts w:ascii="Times New Roman" w:hAnsi="Times New Roman" w:eastAsia="仿宋_GB2312" w:cs="Times New Roman"/>
          <w:lang w:eastAsia="zh-CN"/>
        </w:rPr>
        <w:t>日（周二）13:00-13:30进行，地点为上海商学院徐汇校区教学楼207教室（徐汇区中山西路2271号）。综合能力面试将于当日14:00-18:00进行，具体事宜另行通知。</w:t>
      </w:r>
    </w:p>
    <w:p w14:paraId="70AC9B3B">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同等学力考生资格审查及资料提交时间为</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年3月2</w:t>
      </w:r>
      <w:r>
        <w:rPr>
          <w:rFonts w:hint="eastAsia" w:ascii="Times New Roman" w:hAnsi="Times New Roman" w:eastAsia="仿宋_GB2312" w:cs="Times New Roman"/>
          <w:lang w:eastAsia="zh-CN"/>
        </w:rPr>
        <w:t>4</w:t>
      </w:r>
      <w:r>
        <w:rPr>
          <w:rFonts w:ascii="Times New Roman" w:hAnsi="Times New Roman" w:eastAsia="仿宋_GB2312" w:cs="Times New Roman"/>
          <w:lang w:eastAsia="zh-CN"/>
        </w:rPr>
        <w:t>日（周二）8:30-9:00，地点为上海商学院徐汇校区教学楼</w:t>
      </w:r>
      <w:r>
        <w:rPr>
          <w:rFonts w:hint="eastAsia" w:ascii="Times New Roman" w:hAnsi="Times New Roman" w:eastAsia="仿宋_GB2312" w:cs="Times New Roman"/>
          <w:lang w:eastAsia="zh-CN"/>
        </w:rPr>
        <w:t>206</w:t>
      </w:r>
      <w:r>
        <w:rPr>
          <w:rFonts w:ascii="Times New Roman" w:hAnsi="Times New Roman" w:eastAsia="仿宋_GB2312" w:cs="Times New Roman"/>
          <w:lang w:eastAsia="zh-CN"/>
        </w:rPr>
        <w:t>教室（徐汇区中山西路2271号）。笔试科目加试将于当日9:30-10:30进行</w:t>
      </w:r>
      <w:r>
        <w:rPr>
          <w:rFonts w:hint="eastAsia" w:ascii="Times New Roman" w:hAnsi="Times New Roman" w:eastAsia="仿宋_GB2312" w:cs="Times New Roman"/>
          <w:lang w:eastAsia="zh-CN"/>
        </w:rPr>
        <w:t>。</w:t>
      </w:r>
    </w:p>
    <w:p w14:paraId="7D0AB6E8">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2.调剂复试</w:t>
      </w:r>
    </w:p>
    <w:p w14:paraId="3A50A7AF">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bookmarkStart w:id="0" w:name="_Hlk193352511"/>
      <w:r>
        <w:rPr>
          <w:rFonts w:hint="eastAsia" w:ascii="Times New Roman" w:hAnsi="Times New Roman" w:eastAsia="仿宋_GB2312" w:cs="Times New Roman"/>
          <w:color w:val="000000" w:themeColor="text1"/>
          <w:lang w:eastAsia="zh-CN"/>
          <w14:textFill>
            <w14:solidFill>
              <w14:schemeClr w14:val="tx1"/>
            </w14:solidFill>
          </w14:textFill>
        </w:rPr>
        <w:t>调剂复试采取远程网络复试，调剂考生复试于</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w:t>
      </w:r>
      <w:r>
        <w:rPr>
          <w:rFonts w:hint="eastAsia" w:ascii="Times New Roman" w:hAnsi="Times New Roman" w:eastAsia="仿宋_GB2312" w:cs="Times New Roman"/>
          <w:color w:val="000000" w:themeColor="text1"/>
          <w:lang w:eastAsia="zh-CN"/>
          <w14:textFill>
            <w14:solidFill>
              <w14:schemeClr w14:val="tx1"/>
            </w14:solidFill>
          </w14:textFill>
        </w:rPr>
        <w:t>4月8日正式开始，</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6</w:t>
      </w:r>
      <w:r>
        <w:rPr>
          <w:rFonts w:ascii="Times New Roman" w:hAnsi="Times New Roman" w:eastAsia="仿宋_GB2312" w:cs="Times New Roman"/>
          <w:lang w:eastAsia="zh-CN"/>
        </w:rPr>
        <w:t>年</w:t>
      </w:r>
      <w:r>
        <w:rPr>
          <w:rFonts w:hint="eastAsia" w:ascii="Times New Roman" w:hAnsi="Times New Roman" w:eastAsia="仿宋_GB2312" w:cs="Times New Roman"/>
          <w:color w:val="000000" w:themeColor="text1"/>
          <w:lang w:eastAsia="zh-CN"/>
          <w14:textFill>
            <w14:solidFill>
              <w14:schemeClr w14:val="tx1"/>
            </w14:solidFill>
          </w14:textFill>
        </w:rPr>
        <w:t>4月28日前完成。</w:t>
      </w:r>
    </w:p>
    <w:bookmarkEnd w:id="0"/>
    <w:p w14:paraId="3E2C9515">
      <w:pPr>
        <w:pStyle w:val="3"/>
        <w:snapToGrid w:val="0"/>
        <w:spacing w:before="0" w:line="360" w:lineRule="auto"/>
        <w:ind w:left="0" w:right="117"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学院后续将按规定公布调剂细则和相关通知。</w:t>
      </w:r>
    </w:p>
    <w:p w14:paraId="5414E9B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（二）差额比例</w:t>
      </w:r>
    </w:p>
    <w:p w14:paraId="04E4AED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复试采取差额形式，复试考生一般不少于招生计划的120%。合格生源比例不足的，按实际合格生源数组织复试。</w:t>
      </w:r>
    </w:p>
    <w:p w14:paraId="54556FD2">
      <w:pPr>
        <w:pStyle w:val="3"/>
        <w:snapToGrid w:val="0"/>
        <w:spacing w:before="0" w:line="360" w:lineRule="auto"/>
        <w:ind w:left="761"/>
        <w:rPr>
          <w:rFonts w:ascii="Times New Roman" w:hAnsi="Times New Roman" w:eastAsia="仿宋_GB2312" w:cs="Times New Roman"/>
          <w:lang w:eastAsia="zh-CN"/>
        </w:rPr>
      </w:pP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三</w:t>
      </w:r>
      <w:r>
        <w:rPr>
          <w:rFonts w:ascii="Times New Roman" w:hAnsi="Times New Roman" w:eastAsia="仿宋_GB2312" w:cs="Times New Roman"/>
          <w:lang w:eastAsia="zh-CN"/>
        </w:rPr>
        <w:t>）复试</w:t>
      </w:r>
      <w:r>
        <w:rPr>
          <w:rFonts w:hint="eastAsia" w:ascii="Times New Roman" w:hAnsi="Times New Roman" w:eastAsia="仿宋_GB2312" w:cs="Times New Roman"/>
          <w:lang w:eastAsia="zh-CN"/>
        </w:rPr>
        <w:t>内容</w:t>
      </w:r>
    </w:p>
    <w:p w14:paraId="1EC24666">
      <w:pPr>
        <w:pStyle w:val="3"/>
        <w:snapToGrid w:val="0"/>
        <w:spacing w:line="360" w:lineRule="auto"/>
        <w:ind w:right="117" w:firstLine="64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1.复试内容包括①思想政治理论；②专业综合能力；③英语口语与听力。</w:t>
      </w:r>
    </w:p>
    <w:p w14:paraId="2EAB57B1">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复试形式为面试</w:t>
      </w:r>
      <w:r>
        <w:rPr>
          <w:rFonts w:hint="eastAsia" w:ascii="Times New Roman" w:hAnsi="Times New Roman" w:eastAsia="仿宋_GB2312" w:cs="Times New Roman"/>
          <w:color w:val="000000" w:themeColor="text1"/>
          <w:lang w:eastAsia="zh-CN"/>
          <w14:textFill>
            <w14:solidFill>
              <w14:schemeClr w14:val="tx1"/>
            </w14:solidFill>
          </w14:textFill>
        </w:rPr>
        <w:t>。</w:t>
      </w:r>
    </w:p>
    <w:p w14:paraId="1E136CDB">
      <w:pPr>
        <w:pStyle w:val="3"/>
        <w:snapToGrid w:val="0"/>
        <w:spacing w:line="360" w:lineRule="auto"/>
        <w:ind w:right="117" w:firstLine="64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复试满分成绩为</w:t>
      </w:r>
      <w:r>
        <w:rPr>
          <w:rFonts w:ascii="Times New Roman" w:hAnsi="Times New Roman" w:eastAsia="仿宋_GB2312" w:cs="Times New Roman"/>
          <w:color w:val="000000" w:themeColor="text1"/>
          <w:lang w:eastAsia="zh-CN"/>
          <w14:textFill>
            <w14:solidFill>
              <w14:schemeClr w14:val="tx1"/>
            </w14:solidFill>
          </w14:textFill>
        </w:rPr>
        <w:t>100分，其中英语听说测试为20分。</w:t>
      </w:r>
    </w:p>
    <w:p w14:paraId="2085142C">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复试参考书为《旅游学概论（第二版）》，邓爱民、任斐著，华中科技大学出版社，</w:t>
      </w:r>
      <w:r>
        <w:rPr>
          <w:rFonts w:ascii="Times New Roman" w:hAnsi="Times New Roman" w:eastAsia="仿宋_GB2312" w:cs="Times New Roman"/>
          <w:color w:val="000000" w:themeColor="text1"/>
          <w:lang w:eastAsia="zh-CN"/>
          <w14:textFill>
            <w14:solidFill>
              <w14:schemeClr w14:val="tx1"/>
            </w14:solidFill>
          </w14:textFill>
        </w:rPr>
        <w:t>2022年7月。</w:t>
      </w:r>
    </w:p>
    <w:p w14:paraId="59E93083">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2.对于我校招收同等学力考生的专业，同等学力考生还须加试两门不同于初试科目的本科主干课程，每科成绩满分为100分。</w:t>
      </w:r>
    </w:p>
    <w:p w14:paraId="11B9866C">
      <w:pPr>
        <w:pStyle w:val="3"/>
        <w:snapToGrid w:val="0"/>
        <w:spacing w:line="360" w:lineRule="auto"/>
        <w:ind w:right="117" w:firstLine="640"/>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加试内容</w:t>
      </w:r>
      <w:r>
        <w:rPr>
          <w:rFonts w:ascii="Times New Roman" w:hAnsi="Times New Roman" w:eastAsia="仿宋_GB2312" w:cs="Times New Roman"/>
          <w:color w:val="000000" w:themeColor="text1"/>
          <w:lang w:eastAsia="zh-CN"/>
          <w14:textFill>
            <w14:solidFill>
              <w14:schemeClr w14:val="tx1"/>
            </w14:solidFill>
          </w14:textFill>
        </w:rPr>
        <w:t>包括笔试科目两门</w:t>
      </w:r>
      <w:r>
        <w:rPr>
          <w:rFonts w:hint="eastAsia" w:ascii="Times New Roman" w:hAnsi="Times New Roman" w:eastAsia="仿宋_GB2312" w:cs="Times New Roman"/>
          <w:color w:val="000000" w:themeColor="text1"/>
          <w:lang w:eastAsia="zh-CN"/>
          <w14:textFill>
            <w14:solidFill>
              <w14:schemeClr w14:val="tx1"/>
            </w14:solidFill>
          </w14:textFill>
        </w:rPr>
        <w:t>，分别为《旅游接待业》和《旅游消费者行为》。每门科目考试时间为30分钟</w:t>
      </w:r>
      <w:r>
        <w:rPr>
          <w:rFonts w:ascii="Times New Roman" w:hAnsi="Times New Roman" w:eastAsia="仿宋_GB2312" w:cs="Times New Roman"/>
          <w:color w:val="000000" w:themeColor="text1"/>
          <w:lang w:eastAsia="zh-CN"/>
          <w14:textFill>
            <w14:solidFill>
              <w14:schemeClr w14:val="tx1"/>
            </w14:solidFill>
          </w14:textFill>
        </w:rPr>
        <w:t>，闭卷。加试成绩不计入复试总成绩，但加试成绩不合格者（低于60分）不予录取。</w:t>
      </w:r>
    </w:p>
    <w:p w14:paraId="64E1AAC5">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加试参考书为：①《旅游接待业——理论、方法与实践》，何建民，重庆大学出版社，</w:t>
      </w:r>
      <w:r>
        <w:rPr>
          <w:rFonts w:ascii="Times New Roman" w:hAnsi="Times New Roman" w:eastAsia="仿宋_GB2312" w:cs="Times New Roman"/>
          <w:color w:val="000000" w:themeColor="text1"/>
          <w:lang w:eastAsia="zh-CN"/>
          <w14:textFill>
            <w14:solidFill>
              <w14:schemeClr w14:val="tx1"/>
            </w14:solidFill>
          </w14:textFill>
        </w:rPr>
        <w:t>2024年10月</w:t>
      </w:r>
      <w:r>
        <w:rPr>
          <w:rFonts w:hint="eastAsia" w:ascii="Times New Roman" w:hAnsi="Times New Roman" w:eastAsia="仿宋_GB2312" w:cs="Times New Roman"/>
          <w:color w:val="000000" w:themeColor="text1"/>
          <w:lang w:eastAsia="zh-CN"/>
          <w14:textFill>
            <w14:solidFill>
              <w14:schemeClr w14:val="tx1"/>
            </w14:solidFill>
          </w14:textFill>
        </w:rPr>
        <w:t>；②</w:t>
      </w:r>
      <w:r>
        <w:rPr>
          <w:rFonts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旅游消费者行为（双语版）</w:t>
      </w:r>
      <w:r>
        <w:rPr>
          <w:rFonts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史达，华中科技大学出版社，2023年7月</w:t>
      </w:r>
      <w:r>
        <w:rPr>
          <w:rFonts w:ascii="Times New Roman" w:hAnsi="Times New Roman" w:eastAsia="仿宋_GB2312" w:cs="Times New Roman"/>
          <w:color w:val="000000" w:themeColor="text1"/>
          <w:lang w:eastAsia="zh-CN"/>
          <w14:textFill>
            <w14:solidFill>
              <w14:schemeClr w14:val="tx1"/>
            </w14:solidFill>
          </w14:textFill>
        </w:rPr>
        <w:t>。</w:t>
      </w:r>
    </w:p>
    <w:p w14:paraId="23C2EAF6">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color w:val="000000" w:themeColor="text1"/>
          <w:lang w:eastAsia="zh-CN"/>
          <w14:textFill>
            <w14:solidFill>
              <w14:schemeClr w14:val="tx1"/>
            </w14:solidFill>
          </w14:textFill>
        </w:rPr>
        <w:t>3.复试成绩满分为100分，复试成绩不合格(即低于60分)者不予录取。同等学力任何一门加试成绩不合格(即低于60分)者不予录取。</w:t>
      </w:r>
    </w:p>
    <w:p w14:paraId="035D444D">
      <w:pPr>
        <w:pStyle w:val="3"/>
        <w:snapToGrid w:val="0"/>
        <w:spacing w:before="0" w:line="360" w:lineRule="auto"/>
        <w:ind w:left="760" w:right="353"/>
        <w:jc w:val="both"/>
        <w:rPr>
          <w:rFonts w:ascii="黑体" w:hAnsi="黑体" w:eastAsia="黑体"/>
          <w:lang w:eastAsia="zh-CN"/>
        </w:rPr>
      </w:pPr>
      <w:r>
        <w:rPr>
          <w:rFonts w:ascii="黑体" w:hAnsi="黑体" w:eastAsia="黑体"/>
          <w:lang w:eastAsia="zh-CN"/>
        </w:rPr>
        <w:t>四、复试程序</w:t>
      </w:r>
    </w:p>
    <w:p w14:paraId="2C11DF2B">
      <w:pPr>
        <w:tabs>
          <w:tab w:val="left" w:pos="1242"/>
        </w:tabs>
        <w:snapToGrid w:val="0"/>
        <w:spacing w:line="360" w:lineRule="auto"/>
        <w:ind w:right="99" w:firstLine="640" w:firstLineChars="200"/>
        <w:rPr>
          <w:rFonts w:ascii="黑体" w:hAnsi="黑体" w:eastAsia="黑体"/>
        </w:rPr>
      </w:pPr>
      <w:r>
        <w:rPr>
          <w:rFonts w:ascii="Times New Roman" w:hAnsi="Times New Roman" w:eastAsia="仿宋_GB2312" w:cs="Times New Roman"/>
          <w:color w:val="000000" w:themeColor="text1"/>
          <w:sz w:val="32"/>
          <w:szCs w:val="32"/>
          <w14:textFill>
            <w14:solidFill>
              <w14:schemeClr w14:val="tx1"/>
            </w14:solidFill>
          </w14:textFill>
        </w:rPr>
        <w:t>复试开始前由学院工作人员完成考生“两识别”“四比对”资格审查与身份认证。</w:t>
      </w:r>
    </w:p>
    <w:p w14:paraId="44AB3A0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（一）考生资料准备</w:t>
      </w:r>
    </w:p>
    <w:p w14:paraId="77DD19D8">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1.有效居民身份证件（若遗失提供派出所出具的证明）。</w:t>
      </w:r>
    </w:p>
    <w:p w14:paraId="7835595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2.准考证（可在中国研究生招生信息网下载）。</w:t>
      </w:r>
    </w:p>
    <w:p w14:paraId="31B26C8D">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3.《诚信复试承诺书》下载后手写签名。</w:t>
      </w:r>
    </w:p>
    <w:p w14:paraId="24FB2B6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4.学籍学历证明：</w:t>
      </w:r>
    </w:p>
    <w:p w14:paraId="52BBC6A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①应届毕业生提供经学信网申请的《教育部学籍在线验证报告》。</w:t>
      </w:r>
    </w:p>
    <w:p w14:paraId="08C111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②已毕业者提供经学信网申请的《教育部学历证书电子注册备案表》或《中国高等教育学历认证报告》。</w:t>
      </w:r>
    </w:p>
    <w:p w14:paraId="71C8EF4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③境外学历者提供教育部留学服务中心《国外学历学位认证书》。</w:t>
      </w:r>
    </w:p>
    <w:p w14:paraId="449075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④尚未取得本科毕业证书的自考和网络教育考生，需提供相关成绩证明。</w:t>
      </w:r>
    </w:p>
    <w:p w14:paraId="74ECE97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5.其他证明材料：</w:t>
      </w:r>
    </w:p>
    <w:p w14:paraId="3FC63095">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①符合教育部招生规定中加分政策的证明材料。</w:t>
      </w:r>
    </w:p>
    <w:p w14:paraId="201CDF4C">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②</w:t>
      </w:r>
      <w:r>
        <w:rPr>
          <w:rFonts w:ascii="Times New Roman" w:hAnsi="Times New Roman" w:eastAsia="仿宋_GB2312" w:cs="Times New Roman"/>
          <w:color w:val="000000" w:themeColor="text1"/>
          <w:sz w:val="32"/>
          <w:szCs w:val="32"/>
          <w14:textFill>
            <w14:solidFill>
              <w14:schemeClr w14:val="tx1"/>
            </w14:solidFill>
          </w14:textFill>
        </w:rPr>
        <w:t>考生录取类别为“定向”的考生，需提前准备“定向单位同意报考的证明材料”。</w:t>
      </w:r>
    </w:p>
    <w:p w14:paraId="18A09641">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③招生学院要求的其他材料。</w:t>
      </w:r>
    </w:p>
    <w:p w14:paraId="41B8B11E">
      <w:pPr>
        <w:pStyle w:val="3"/>
        <w:snapToGrid w:val="0"/>
        <w:spacing w:before="0" w:line="360" w:lineRule="auto"/>
        <w:ind w:left="0" w:right="117"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一志愿考生和调剂考生的复试材料提交要求、报到时间、面试时间等详见后续酒店管理学院网站（</w:t>
      </w:r>
      <w:r>
        <w:rPr>
          <w:rFonts w:ascii="Times New Roman" w:hAnsi="Times New Roman" w:eastAsia="仿宋_GB2312" w:cs="Times New Roman"/>
          <w:color w:val="000000" w:themeColor="text1"/>
          <w14:textFill>
            <w14:solidFill>
              <w14:schemeClr w14:val="tx1"/>
            </w14:solidFill>
          </w14:textFill>
        </w:rPr>
        <w:t>https://jdglxy.sbs.edu.cn/</w:t>
      </w:r>
      <w:r>
        <w:rPr>
          <w:rFonts w:hint="eastAsia" w:ascii="Times New Roman" w:hAnsi="Times New Roman" w:eastAsia="仿宋_GB2312" w:cs="Times New Roman"/>
          <w:color w:val="000000" w:themeColor="text1"/>
          <w:lang w:eastAsia="zh-CN"/>
          <w14:textFill>
            <w14:solidFill>
              <w14:schemeClr w14:val="tx1"/>
            </w14:solidFill>
          </w14:textFill>
        </w:rPr>
        <w:t>）通知。</w:t>
      </w:r>
    </w:p>
    <w:p w14:paraId="2866C87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（二）资格审查</w:t>
      </w:r>
    </w:p>
    <w:p w14:paraId="0A25B6C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在复试前，要对参加复试的考生进行资格审查。通过资格审查的考生方可参加复试，对不符合规定者，不予复试。</w:t>
      </w:r>
    </w:p>
    <w:p w14:paraId="63E0DA0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（三）成立复试小组</w:t>
      </w:r>
    </w:p>
    <w:p w14:paraId="441A6A6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按照专业成立复试小组，每个小组一般由不少于五人的教师组成，设组长一人。</w:t>
      </w:r>
    </w:p>
    <w:p w14:paraId="447011E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（四）纪律教育和复试监管</w:t>
      </w:r>
    </w:p>
    <w:p w14:paraId="1A6AF49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在复试考试前，</w:t>
      </w:r>
      <w:r>
        <w:rPr>
          <w:rFonts w:ascii="Times New Roman" w:hAnsi="Times New Roman" w:eastAsia="仿宋_GB2312" w:cs="Times New Roman"/>
          <w:color w:val="000000" w:themeColor="text1"/>
          <w:sz w:val="32"/>
          <w:szCs w:val="32"/>
          <w14:textFill>
            <w14:solidFill>
              <w14:schemeClr w14:val="tx1"/>
            </w14:solidFill>
          </w14:textFill>
        </w:rPr>
        <w:t>应与考生逐一签订《诚信复试承诺书》，确保提交材料真实和复试过程诚信。</w:t>
      </w:r>
    </w:p>
    <w:p w14:paraId="14368832">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采用远程网络复试的，在考生复试过程中要求考生按规定开启摄像设备，利用“双机位”进行网上巡视监控。</w:t>
      </w:r>
    </w:p>
    <w:p w14:paraId="0B13AE40">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学院研究生招生工作监察小组复试期间对复试工作进行全程监督。</w:t>
      </w:r>
    </w:p>
    <w:p w14:paraId="2CA526D1">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五、加分政策</w:t>
      </w:r>
    </w:p>
    <w:p w14:paraId="6041E33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初试加分严格按照按教育部和上海市有关文件执行。</w:t>
      </w:r>
    </w:p>
    <w:p w14:paraId="0716E61A">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符合初试总分加分条件的考生须在复试资格审查提交相关证明材料。</w:t>
      </w:r>
    </w:p>
    <w:p w14:paraId="06CC25B7">
      <w:pPr>
        <w:pStyle w:val="3"/>
        <w:snapToGrid w:val="0"/>
        <w:spacing w:line="360" w:lineRule="auto"/>
        <w:ind w:firstLine="640" w:firstLineChars="200"/>
        <w:jc w:val="both"/>
        <w:rPr>
          <w:rFonts w:ascii="黑体" w:hAnsi="黑体" w:eastAsia="黑体"/>
          <w:lang w:eastAsia="zh-CN"/>
        </w:rPr>
      </w:pPr>
      <w:r>
        <w:rPr>
          <w:rFonts w:ascii="黑体" w:hAnsi="黑体" w:eastAsia="黑体"/>
          <w:lang w:eastAsia="zh-CN"/>
        </w:rPr>
        <w:t>六、录取</w:t>
      </w:r>
      <w:r>
        <w:rPr>
          <w:rFonts w:hint="eastAsia" w:ascii="黑体" w:hAnsi="黑体" w:eastAsia="黑体"/>
          <w:lang w:eastAsia="zh-CN"/>
        </w:rPr>
        <w:t>工作</w:t>
      </w:r>
    </w:p>
    <w:p w14:paraId="60CF9EF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（一）总成绩=折算成100分的初试成绩×60%+复试总成绩×40%。根据总成绩排序，从高分到低分依次录取。</w:t>
      </w:r>
    </w:p>
    <w:p w14:paraId="1812607F">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符合教育部《2025年全国硕士研究生招生工作管理规定》要求，可享受初试加分政策的考生，按要求提交相关材料</w:t>
      </w:r>
      <w:r>
        <w:rPr>
          <w:rFonts w:ascii="Times New Roman" w:hAnsi="Times New Roman" w:eastAsia="仿宋_GB2312" w:cs="Times New Roman"/>
          <w:color w:val="000000" w:themeColor="text1"/>
          <w:sz w:val="32"/>
          <w:szCs w:val="32"/>
          <w14:textFill>
            <w14:solidFill>
              <w14:schemeClr w14:val="tx1"/>
            </w14:solidFill>
          </w14:textFill>
        </w:rPr>
        <w:t>，经学校核实无误后给予认定</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40C97CB">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（三）复试期间发现考生不符合报考条件，或考试违纪、替考，思想品德考核不合格者不予录取。</w:t>
      </w:r>
    </w:p>
    <w:p w14:paraId="15B98BB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）当招生专业出现多名考生总成绩同分并列的情况，依下列顺序排列名次：当总成绩相同，复试成绩高者，名次前列；当总成绩和复试成绩相同者，专业课1成绩高者，名次前列。</w:t>
      </w:r>
    </w:p>
    <w:p w14:paraId="0A31F35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拟录取名单</w:t>
      </w:r>
      <w:r>
        <w:rPr>
          <w:rFonts w:hint="eastAsia" w:ascii="Times New Roman" w:hAnsi="Times New Roman" w:eastAsia="仿宋_GB2312" w:cs="Times New Roman"/>
          <w:color w:val="000000" w:themeColor="text1"/>
          <w:sz w:val="32"/>
          <w:szCs w:val="32"/>
          <w14:textFill>
            <w14:solidFill>
              <w14:schemeClr w14:val="tx1"/>
            </w14:solidFill>
          </w14:textFill>
        </w:rPr>
        <w:t>向社会公布</w:t>
      </w:r>
      <w:r>
        <w:rPr>
          <w:rFonts w:ascii="Times New Roman" w:hAnsi="Times New Roman" w:eastAsia="仿宋_GB2312" w:cs="Times New Roman"/>
          <w:color w:val="000000" w:themeColor="text1"/>
          <w:sz w:val="32"/>
          <w:szCs w:val="32"/>
          <w14:textFill>
            <w14:solidFill>
              <w14:schemeClr w14:val="tx1"/>
            </w14:solidFill>
          </w14:textFill>
        </w:rPr>
        <w:t>。</w:t>
      </w:r>
    </w:p>
    <w:p w14:paraId="0CD1EA17">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思想政治素质和道德品质考核内容包括考生的政治态度、思想表现、工作学习态度、职业道德、遵纪守法等方面。拟录取名单确定后，学校向考生所在单位函调人事档案和本人现实表现等材料，全面考查其思想政治表现和品德情况，不合格者取消录取资格。</w:t>
      </w:r>
    </w:p>
    <w:p w14:paraId="39509D0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w:t>
      </w:r>
      <w:bookmarkStart w:id="2" w:name="_GoBack"/>
      <w:bookmarkEnd w:id="2"/>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录取考生在开学时参加学校统一组织的入学体检。</w:t>
      </w:r>
    </w:p>
    <w:p w14:paraId="64A5FD1F">
      <w:pPr>
        <w:pStyle w:val="3"/>
        <w:snapToGrid w:val="0"/>
        <w:spacing w:line="360" w:lineRule="auto"/>
        <w:ind w:firstLine="640" w:firstLineChars="200"/>
        <w:jc w:val="both"/>
        <w:rPr>
          <w:rFonts w:ascii="黑体" w:hAnsi="黑体" w:eastAsia="黑体"/>
          <w:lang w:eastAsia="zh-CN"/>
        </w:rPr>
      </w:pPr>
      <w:r>
        <w:rPr>
          <w:rFonts w:hint="eastAsia" w:ascii="黑体" w:hAnsi="黑体" w:eastAsia="黑体"/>
          <w:lang w:eastAsia="zh-CN"/>
        </w:rPr>
        <w:t>七、违规处理</w:t>
      </w:r>
    </w:p>
    <w:p w14:paraId="4EEC82B3">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625EF134">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学校严格按照相关规定，严肃查处违规违纪行为。对在复试过程中有违规行为的考生，一经查实，即按照《国家教育考试违规处理办法》《普通高等学校招生违规行为处理暂行办法》等规定严肃处理，取消录取资格。</w:t>
      </w:r>
    </w:p>
    <w:p w14:paraId="6F585279">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3.入学后3个月内，学校将按照《普通高等学校学生管理规定》有关要求，对所有新生进行全面复查。复查不合格者，取消学籍。</w:t>
      </w:r>
    </w:p>
    <w:p w14:paraId="2A60CC17">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八、监督复议</w:t>
      </w:r>
    </w:p>
    <w:p w14:paraId="36B96696">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对申诉的问题经调查属实的，由校研究生招生工作领导小组及时进行处理，涉及复试过程中的违规违纪问题由校纪检监察机构处理。</w:t>
      </w:r>
    </w:p>
    <w:p w14:paraId="5E8269FE">
      <w:pPr>
        <w:tabs>
          <w:tab w:val="left" w:pos="1242"/>
        </w:tabs>
        <w:snapToGrid w:val="0"/>
        <w:spacing w:line="360" w:lineRule="auto"/>
        <w:ind w:right="99"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研究生处联系电话：021-64163253;校纪检监察机构联系电话：021-67105467。</w:t>
      </w:r>
    </w:p>
    <w:p w14:paraId="4C2914BB">
      <w:pPr>
        <w:tabs>
          <w:tab w:val="left" w:pos="1242"/>
        </w:tabs>
        <w:snapToGrid w:val="0"/>
        <w:spacing w:line="360" w:lineRule="auto"/>
        <w:ind w:right="99" w:firstLine="570" w:firstLineChars="200"/>
        <w:rPr>
          <w:rFonts w:ascii="黑体" w:hAnsi="黑体" w:eastAsia="黑体" w:cs="宋体"/>
          <w:w w:val="95"/>
          <w:kern w:val="0"/>
          <w:sz w:val="30"/>
          <w:szCs w:val="30"/>
        </w:rPr>
      </w:pPr>
      <w:r>
        <w:rPr>
          <w:rFonts w:ascii="黑体" w:hAnsi="黑体" w:eastAsia="黑体" w:cs="宋体"/>
          <w:w w:val="95"/>
          <w:kern w:val="0"/>
          <w:sz w:val="30"/>
          <w:szCs w:val="30"/>
        </w:rPr>
        <w:t>九、其它</w:t>
      </w:r>
    </w:p>
    <w:p w14:paraId="187DD972">
      <w:pPr>
        <w:pStyle w:val="3"/>
        <w:snapToGrid w:val="0"/>
        <w:spacing w:before="0" w:line="360" w:lineRule="auto"/>
        <w:ind w:right="117" w:firstLine="64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本方案由</w:t>
      </w:r>
      <w:r>
        <w:rPr>
          <w:rFonts w:hint="eastAsia" w:ascii="Times New Roman" w:hAnsi="Times New Roman" w:eastAsia="仿宋_GB2312" w:cs="Times New Roman"/>
          <w:color w:val="000000" w:themeColor="text1"/>
          <w:lang w:eastAsia="zh-CN"/>
          <w14:textFill>
            <w14:solidFill>
              <w14:schemeClr w14:val="tx1"/>
            </w14:solidFill>
          </w14:textFill>
        </w:rPr>
        <w:t>酒店管理</w:t>
      </w:r>
      <w:r>
        <w:rPr>
          <w:rFonts w:ascii="Times New Roman" w:hAnsi="Times New Roman" w:eastAsia="仿宋_GB2312" w:cs="Times New Roman"/>
          <w:color w:val="000000" w:themeColor="text1"/>
          <w:lang w:eastAsia="zh-CN"/>
          <w14:textFill>
            <w14:solidFill>
              <w14:schemeClr w14:val="tx1"/>
            </w14:solidFill>
          </w14:textFill>
        </w:rPr>
        <w:t>学院研究生招生工作领导小组负责解释。未尽事宜以教育部《</w:t>
      </w:r>
      <w:r>
        <w:rPr>
          <w:rFonts w:hint="eastAsia" w:ascii="Times New Roman" w:hAnsi="Times New Roman" w:eastAsia="仿宋_GB2312" w:cs="Times New Roman"/>
          <w:color w:val="000000" w:themeColor="text1"/>
          <w:lang w:eastAsia="zh-CN"/>
          <w14:textFill>
            <w14:solidFill>
              <w14:schemeClr w14:val="tx1"/>
            </w14:solidFill>
          </w14:textFill>
        </w:rPr>
        <w:t>2026</w:t>
      </w:r>
      <w:r>
        <w:rPr>
          <w:rFonts w:ascii="Times New Roman" w:hAnsi="Times New Roman" w:eastAsia="仿宋_GB2312" w:cs="Times New Roman"/>
          <w:color w:val="000000" w:themeColor="text1"/>
          <w:lang w:eastAsia="zh-CN"/>
          <w14:textFill>
            <w14:solidFill>
              <w14:schemeClr w14:val="tx1"/>
            </w14:solidFill>
          </w14:textFill>
        </w:rPr>
        <w:t>年全国硕士研究生招生工作管理规定》等文件和学校相关规定为准。</w:t>
      </w:r>
    </w:p>
    <w:p w14:paraId="2949650D">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十、联系方式</w:t>
      </w:r>
    </w:p>
    <w:p w14:paraId="4D436711">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旅游管理专硕</w:t>
      </w:r>
    </w:p>
    <w:p w14:paraId="2DD5D044">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联系电话：021-37198068</w:t>
      </w:r>
    </w:p>
    <w:p w14:paraId="1AB5D025">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联系人：周老师</w:t>
      </w:r>
    </w:p>
    <w:p w14:paraId="7EA3996A">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联系邮箱：sbs_mta@163.com</w:t>
      </w:r>
    </w:p>
    <w:p w14:paraId="4316C097">
      <w:pPr>
        <w:pStyle w:val="3"/>
        <w:snapToGrid w:val="0"/>
        <w:spacing w:before="0" w:line="360" w:lineRule="auto"/>
        <w:ind w:right="117"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学院网址：</w:t>
      </w:r>
      <w:r>
        <w:rPr>
          <w:rFonts w:ascii="Times New Roman" w:hAnsi="Times New Roman" w:eastAsia="仿宋_GB2312" w:cs="Times New Roman"/>
          <w:lang w:eastAsia="zh-CN"/>
        </w:rPr>
        <w:t>https://jdglxy.sbs.edu.cn/</w:t>
      </w:r>
    </w:p>
    <w:p w14:paraId="27424C11">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4BFB6AFA">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5090A815">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6784BDA">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434A3469">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1B51161F">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CB0AADE">
      <w:pPr>
        <w:pStyle w:val="3"/>
        <w:snapToGrid w:val="0"/>
        <w:spacing w:before="0" w:line="360" w:lineRule="auto"/>
        <w:ind w:right="117" w:firstLine="1929" w:firstLineChars="603"/>
        <w:rPr>
          <w:rFonts w:ascii="Times New Roman" w:hAnsi="Times New Roman" w:eastAsia="仿宋_GB2312" w:cs="Times New Roman"/>
          <w:color w:val="000000" w:themeColor="text1"/>
          <w:lang w:eastAsia="zh-CN"/>
          <w14:textFill>
            <w14:solidFill>
              <w14:schemeClr w14:val="tx1"/>
            </w14:solidFill>
          </w14:textFill>
        </w:rPr>
      </w:pPr>
    </w:p>
    <w:p w14:paraId="74C308FB">
      <w:pPr>
        <w:pStyle w:val="3"/>
        <w:snapToGrid w:val="0"/>
        <w:spacing w:before="0" w:line="360" w:lineRule="auto"/>
        <w:ind w:right="117" w:firstLine="1929" w:firstLineChars="603"/>
        <w:rPr>
          <w:rFonts w:ascii="Times New Roman" w:hAnsi="Times New Roman" w:eastAsia="仿宋_GB2312" w:cs="Times New Roman"/>
          <w:color w:val="000000" w:themeColor="text1"/>
          <w:lang w:eastAsia="zh-CN"/>
          <w14:textFill>
            <w14:solidFill>
              <w14:schemeClr w14:val="tx1"/>
            </w14:solidFill>
          </w14:textFill>
        </w:rPr>
      </w:pPr>
    </w:p>
    <w:p w14:paraId="229F2FA9">
      <w:pPr>
        <w:pStyle w:val="3"/>
        <w:snapToGrid w:val="0"/>
        <w:spacing w:before="0" w:line="360" w:lineRule="auto"/>
        <w:ind w:right="117" w:firstLine="1929" w:firstLineChars="603"/>
        <w:rPr>
          <w:rFonts w:ascii="Times New Roman" w:hAnsi="Times New Roman" w:eastAsia="仿宋_GB2312" w:cs="Times New Roman"/>
          <w:color w:val="000000" w:themeColor="text1"/>
          <w:lang w:eastAsia="zh-CN"/>
          <w14:textFill>
            <w14:solidFill>
              <w14:schemeClr w14:val="tx1"/>
            </w14:solidFill>
          </w14:textFill>
        </w:rPr>
      </w:pPr>
    </w:p>
    <w:p w14:paraId="6766B13B">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16828219">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64B65580">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8A059D1">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01E1CC5E">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1F2AA1C0">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0608B03D">
      <w:pPr>
        <w:spacing w:line="360" w:lineRule="auto"/>
        <w:ind w:firstLine="320" w:firstLineChars="100"/>
        <w:jc w:val="left"/>
        <w:rPr>
          <w:rFonts w:ascii="方正小标宋_GBK" w:hAnsi="华文中宋" w:eastAsia="方正小标宋_GBK"/>
          <w:sz w:val="36"/>
        </w:rPr>
      </w:pPr>
      <w:bookmarkStart w:id="1" w:name="_Toc191646855"/>
      <w:r>
        <w:rPr>
          <w:rFonts w:hint="eastAsia" w:ascii="仿宋_GB2312" w:eastAsia="仿宋_GB2312"/>
          <w:color w:val="000000" w:themeColor="text1"/>
          <w:sz w:val="32"/>
          <w:szCs w:val="32"/>
          <w14:textFill>
            <w14:solidFill>
              <w14:schemeClr w14:val="tx1"/>
            </w14:solidFill>
          </w14:textFill>
        </w:rPr>
        <w:t>附件：《诚信复试承诺书》</w:t>
      </w:r>
    </w:p>
    <w:p w14:paraId="427D9091">
      <w:pPr>
        <w:pStyle w:val="15"/>
        <w:spacing w:after="156"/>
        <w:jc w:val="center"/>
        <w:rPr>
          <w:rFonts w:ascii="方正小标宋_GBK" w:hAnsi="华文中宋" w:eastAsia="方正小标宋_GBK"/>
          <w:sz w:val="36"/>
        </w:rPr>
      </w:pPr>
    </w:p>
    <w:p w14:paraId="28E8258F">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附件 上海商学院2026年硕士研究生招生考生诚信复试承诺书</w:t>
      </w:r>
      <w:bookmarkEnd w:id="1"/>
    </w:p>
    <w:p w14:paraId="6CF5AD19">
      <w:pPr>
        <w:spacing w:line="360" w:lineRule="auto"/>
      </w:pPr>
    </w:p>
    <w:p w14:paraId="27FE833B">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我是参加上海商学院2026年硕士研究生招生复试考核的考生。</w:t>
      </w:r>
    </w:p>
    <w:p w14:paraId="69FD3EAE">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335A87A8">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331307D5">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二、我已认真阅读《上海商学院2026年硕士研究生招生复试考场规则》和学院复试工作细则等文件，知悉并将严格遵守其中对考生的要求。</w:t>
      </w:r>
    </w:p>
    <w:p w14:paraId="7C203B03">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7B84CA9D">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305DD1DC">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1A48C342">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747788C0">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28C61C6C">
      <w:pPr>
        <w:spacing w:line="360" w:lineRule="auto"/>
      </w:pPr>
    </w:p>
    <w:p w14:paraId="533D19A6">
      <w:pPr>
        <w:spacing w:line="360" w:lineRule="auto"/>
      </w:pPr>
    </w:p>
    <w:p w14:paraId="6A0DDAE8">
      <w:pPr>
        <w:spacing w:line="360" w:lineRule="auto"/>
      </w:pPr>
    </w:p>
    <w:p w14:paraId="3093DBCF">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color w:val="000000" w:themeColor="text1"/>
          <w:sz w:val="32"/>
          <w:szCs w:val="32"/>
          <w14:textFill>
            <w14:solidFill>
              <w14:schemeClr w14:val="tx1"/>
            </w14:solidFill>
          </w14:textFill>
        </w:rPr>
        <w:t xml:space="preserve">日期：2026 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70E626CE"/>
    <w:p w14:paraId="599F9C8B">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4670C0C6">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3FFD6A52">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1A6ADAE3">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2AF58EC7">
      <w:pPr>
        <w:pStyle w:val="3"/>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794D2752">
      <w:pPr>
        <w:pStyle w:val="3"/>
        <w:snapToGrid w:val="0"/>
        <w:spacing w:before="0" w:line="360" w:lineRule="auto"/>
        <w:ind w:right="117" w:firstLine="1929" w:firstLineChars="603"/>
        <w:jc w:val="right"/>
        <w:rPr>
          <w:rFonts w:ascii="Times New Roman" w:hAnsi="Times New Roman" w:eastAsia="仿宋_GB2312" w:cs="Times New Roman"/>
          <w:color w:val="000000" w:themeColor="text1"/>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446841"/>
    </w:sdtPr>
    <w:sdtContent>
      <w:p w14:paraId="4F79CC91">
        <w:pPr>
          <w:pStyle w:val="4"/>
          <w:jc w:val="center"/>
        </w:pPr>
        <w:r>
          <w:fldChar w:fldCharType="begin"/>
        </w:r>
        <w:r>
          <w:instrText xml:space="preserve">PAGE   \* MERGEFORMAT</w:instrText>
        </w:r>
        <w:r>
          <w:fldChar w:fldCharType="separate"/>
        </w:r>
        <w:r>
          <w:rPr>
            <w:lang w:val="zh-CN"/>
          </w:rPr>
          <w:t>7</w:t>
        </w:r>
        <w:r>
          <w:fldChar w:fldCharType="end"/>
        </w:r>
      </w:p>
    </w:sdtContent>
  </w:sdt>
  <w:p w14:paraId="0EA9B0E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5CB8E"/>
    <w:multiLevelType w:val="singleLevel"/>
    <w:tmpl w:val="3515CB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MTA2MjU3ODgzMDhkMzE0ZTU0MjU4NGU4NDljNDMifQ=="/>
  </w:docVars>
  <w:rsids>
    <w:rsidRoot w:val="007859C9"/>
    <w:rsid w:val="000122DC"/>
    <w:rsid w:val="00051915"/>
    <w:rsid w:val="000703BA"/>
    <w:rsid w:val="00087600"/>
    <w:rsid w:val="000A7055"/>
    <w:rsid w:val="000D1040"/>
    <w:rsid w:val="000D187B"/>
    <w:rsid w:val="000E3AD5"/>
    <w:rsid w:val="00106046"/>
    <w:rsid w:val="001714C9"/>
    <w:rsid w:val="00183797"/>
    <w:rsid w:val="001C6C51"/>
    <w:rsid w:val="001F0339"/>
    <w:rsid w:val="002700C7"/>
    <w:rsid w:val="002D019F"/>
    <w:rsid w:val="002E0643"/>
    <w:rsid w:val="00313467"/>
    <w:rsid w:val="00313B17"/>
    <w:rsid w:val="0038506B"/>
    <w:rsid w:val="00387977"/>
    <w:rsid w:val="003D436D"/>
    <w:rsid w:val="004440B7"/>
    <w:rsid w:val="0044671B"/>
    <w:rsid w:val="0048677B"/>
    <w:rsid w:val="004C58BE"/>
    <w:rsid w:val="004D7F7A"/>
    <w:rsid w:val="004F098D"/>
    <w:rsid w:val="0059035D"/>
    <w:rsid w:val="00596860"/>
    <w:rsid w:val="005D08B6"/>
    <w:rsid w:val="005E2EC0"/>
    <w:rsid w:val="005F2358"/>
    <w:rsid w:val="00656133"/>
    <w:rsid w:val="006653DA"/>
    <w:rsid w:val="006916D4"/>
    <w:rsid w:val="00695BF0"/>
    <w:rsid w:val="00695EF0"/>
    <w:rsid w:val="00697C90"/>
    <w:rsid w:val="0075563B"/>
    <w:rsid w:val="00775632"/>
    <w:rsid w:val="007859C9"/>
    <w:rsid w:val="00795E59"/>
    <w:rsid w:val="007A55EF"/>
    <w:rsid w:val="007F0EC9"/>
    <w:rsid w:val="008124CE"/>
    <w:rsid w:val="0083521E"/>
    <w:rsid w:val="00837AD3"/>
    <w:rsid w:val="00854E44"/>
    <w:rsid w:val="00887115"/>
    <w:rsid w:val="0089421B"/>
    <w:rsid w:val="008C0F11"/>
    <w:rsid w:val="008C62E8"/>
    <w:rsid w:val="008D480C"/>
    <w:rsid w:val="008F396F"/>
    <w:rsid w:val="009578C3"/>
    <w:rsid w:val="009A5233"/>
    <w:rsid w:val="009D15B3"/>
    <w:rsid w:val="00A26EBE"/>
    <w:rsid w:val="00A72EEB"/>
    <w:rsid w:val="00A916A5"/>
    <w:rsid w:val="00A956FF"/>
    <w:rsid w:val="00AC6022"/>
    <w:rsid w:val="00AE03CB"/>
    <w:rsid w:val="00AF4ADC"/>
    <w:rsid w:val="00B260DF"/>
    <w:rsid w:val="00BC2EE7"/>
    <w:rsid w:val="00C32F5F"/>
    <w:rsid w:val="00CA61BB"/>
    <w:rsid w:val="00D170F2"/>
    <w:rsid w:val="00D22B6E"/>
    <w:rsid w:val="00D36C79"/>
    <w:rsid w:val="00D449E5"/>
    <w:rsid w:val="00D97F98"/>
    <w:rsid w:val="00DC71DA"/>
    <w:rsid w:val="00E117E4"/>
    <w:rsid w:val="00E27E66"/>
    <w:rsid w:val="00E37920"/>
    <w:rsid w:val="00E40779"/>
    <w:rsid w:val="00E51D8C"/>
    <w:rsid w:val="00E90308"/>
    <w:rsid w:val="00EA6FFA"/>
    <w:rsid w:val="00EB1F21"/>
    <w:rsid w:val="00ED67CB"/>
    <w:rsid w:val="00FD0234"/>
    <w:rsid w:val="00FE1E91"/>
    <w:rsid w:val="010359EC"/>
    <w:rsid w:val="014162BE"/>
    <w:rsid w:val="014632E9"/>
    <w:rsid w:val="0174183F"/>
    <w:rsid w:val="024C0C9D"/>
    <w:rsid w:val="02CB792E"/>
    <w:rsid w:val="050C105C"/>
    <w:rsid w:val="059B24B4"/>
    <w:rsid w:val="065322C4"/>
    <w:rsid w:val="0673610D"/>
    <w:rsid w:val="081D1247"/>
    <w:rsid w:val="0963712E"/>
    <w:rsid w:val="0B275F39"/>
    <w:rsid w:val="0C436DA2"/>
    <w:rsid w:val="0C631A19"/>
    <w:rsid w:val="0D091D9A"/>
    <w:rsid w:val="0EC00B7E"/>
    <w:rsid w:val="118150C7"/>
    <w:rsid w:val="14E1232E"/>
    <w:rsid w:val="15FA27BA"/>
    <w:rsid w:val="167069E6"/>
    <w:rsid w:val="17343EB7"/>
    <w:rsid w:val="174A7237"/>
    <w:rsid w:val="175C1481"/>
    <w:rsid w:val="176A78D9"/>
    <w:rsid w:val="18AB01A9"/>
    <w:rsid w:val="18C528D3"/>
    <w:rsid w:val="1B246DC0"/>
    <w:rsid w:val="1BE17E65"/>
    <w:rsid w:val="1CD95D9E"/>
    <w:rsid w:val="1E1D38F7"/>
    <w:rsid w:val="1E2D4852"/>
    <w:rsid w:val="1E2E78B2"/>
    <w:rsid w:val="1E2F362A"/>
    <w:rsid w:val="1E42510C"/>
    <w:rsid w:val="1F4924CA"/>
    <w:rsid w:val="1F501880"/>
    <w:rsid w:val="1F751511"/>
    <w:rsid w:val="1F7A08D5"/>
    <w:rsid w:val="1FC85AE5"/>
    <w:rsid w:val="20F85F56"/>
    <w:rsid w:val="21521B0A"/>
    <w:rsid w:val="21CE6CB6"/>
    <w:rsid w:val="220F17A9"/>
    <w:rsid w:val="229E0D7F"/>
    <w:rsid w:val="22AE0FC2"/>
    <w:rsid w:val="23057491"/>
    <w:rsid w:val="23BA5744"/>
    <w:rsid w:val="243512C2"/>
    <w:rsid w:val="24A7154A"/>
    <w:rsid w:val="255469AB"/>
    <w:rsid w:val="2640642C"/>
    <w:rsid w:val="26814A95"/>
    <w:rsid w:val="282B4E63"/>
    <w:rsid w:val="29B82726"/>
    <w:rsid w:val="2B0A5828"/>
    <w:rsid w:val="2B4D4D67"/>
    <w:rsid w:val="2B932873"/>
    <w:rsid w:val="2E163EBF"/>
    <w:rsid w:val="2E385BE3"/>
    <w:rsid w:val="2E6E34C0"/>
    <w:rsid w:val="2EE664F6"/>
    <w:rsid w:val="2F8F4F8C"/>
    <w:rsid w:val="303B22FD"/>
    <w:rsid w:val="30FE21B5"/>
    <w:rsid w:val="31DB3455"/>
    <w:rsid w:val="32E73A37"/>
    <w:rsid w:val="33784CD4"/>
    <w:rsid w:val="34061C7D"/>
    <w:rsid w:val="340623D2"/>
    <w:rsid w:val="36670118"/>
    <w:rsid w:val="36963C7C"/>
    <w:rsid w:val="36E903C3"/>
    <w:rsid w:val="37970013"/>
    <w:rsid w:val="382140ED"/>
    <w:rsid w:val="385950D4"/>
    <w:rsid w:val="39B5458C"/>
    <w:rsid w:val="39DA2245"/>
    <w:rsid w:val="3BFE0815"/>
    <w:rsid w:val="3C207A32"/>
    <w:rsid w:val="3C5067EE"/>
    <w:rsid w:val="3C6F0ED4"/>
    <w:rsid w:val="3D68730D"/>
    <w:rsid w:val="3DEA67CE"/>
    <w:rsid w:val="3DEF3768"/>
    <w:rsid w:val="3EE00F3F"/>
    <w:rsid w:val="40F77B80"/>
    <w:rsid w:val="4124436F"/>
    <w:rsid w:val="41594D6D"/>
    <w:rsid w:val="44184095"/>
    <w:rsid w:val="44C935E1"/>
    <w:rsid w:val="4574179F"/>
    <w:rsid w:val="459E4A6E"/>
    <w:rsid w:val="463B050F"/>
    <w:rsid w:val="473867FC"/>
    <w:rsid w:val="491A440C"/>
    <w:rsid w:val="49995C33"/>
    <w:rsid w:val="49F11610"/>
    <w:rsid w:val="4A363423"/>
    <w:rsid w:val="4BBE3774"/>
    <w:rsid w:val="4E3C4E24"/>
    <w:rsid w:val="4E886911"/>
    <w:rsid w:val="4EFA0862"/>
    <w:rsid w:val="516E1798"/>
    <w:rsid w:val="517D3696"/>
    <w:rsid w:val="52362075"/>
    <w:rsid w:val="53AC65A8"/>
    <w:rsid w:val="54191421"/>
    <w:rsid w:val="5621502B"/>
    <w:rsid w:val="575A3DD1"/>
    <w:rsid w:val="57F347A6"/>
    <w:rsid w:val="58DF7D47"/>
    <w:rsid w:val="595D2119"/>
    <w:rsid w:val="596E2BB8"/>
    <w:rsid w:val="59E7658C"/>
    <w:rsid w:val="5B9A6FA0"/>
    <w:rsid w:val="5C6C2D78"/>
    <w:rsid w:val="5D137698"/>
    <w:rsid w:val="5D601BA6"/>
    <w:rsid w:val="5DD1521D"/>
    <w:rsid w:val="5DFB2606"/>
    <w:rsid w:val="5E2F0501"/>
    <w:rsid w:val="5E457D25"/>
    <w:rsid w:val="61D75138"/>
    <w:rsid w:val="63EB4ECB"/>
    <w:rsid w:val="65046244"/>
    <w:rsid w:val="6716400D"/>
    <w:rsid w:val="672F1572"/>
    <w:rsid w:val="68965FEA"/>
    <w:rsid w:val="68B852C3"/>
    <w:rsid w:val="69194288"/>
    <w:rsid w:val="6AB778B5"/>
    <w:rsid w:val="6B413622"/>
    <w:rsid w:val="6CBF6EF4"/>
    <w:rsid w:val="6E11552E"/>
    <w:rsid w:val="6E9A1205"/>
    <w:rsid w:val="6EAE2804"/>
    <w:rsid w:val="6FD70AEF"/>
    <w:rsid w:val="6FDE3B35"/>
    <w:rsid w:val="715C2544"/>
    <w:rsid w:val="729A1F96"/>
    <w:rsid w:val="72BD3ED6"/>
    <w:rsid w:val="72DF5BFA"/>
    <w:rsid w:val="765609CA"/>
    <w:rsid w:val="77433A7A"/>
    <w:rsid w:val="780B1CC3"/>
    <w:rsid w:val="784944C7"/>
    <w:rsid w:val="79FA5A10"/>
    <w:rsid w:val="7B9559F0"/>
    <w:rsid w:val="7BC74659"/>
    <w:rsid w:val="7CE86C9A"/>
    <w:rsid w:val="7DE62533"/>
    <w:rsid w:val="7E92110A"/>
    <w:rsid w:val="7EBE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脚 字符"/>
    <w:basedOn w:val="9"/>
    <w:link w:val="4"/>
    <w:autoRedefine/>
    <w:qFormat/>
    <w:uiPriority w:val="99"/>
    <w:rPr>
      <w:sz w:val="18"/>
      <w:szCs w:val="18"/>
    </w:rPr>
  </w:style>
  <w:style w:type="character" w:customStyle="1" w:styleId="12">
    <w:name w:val="正文文本 字符"/>
    <w:basedOn w:val="9"/>
    <w:link w:val="3"/>
    <w:autoRedefine/>
    <w:qFormat/>
    <w:uiPriority w:val="1"/>
    <w:rPr>
      <w:rFonts w:ascii="宋体" w:hAnsi="宋体" w:eastAsia="宋体" w:cs="宋体"/>
      <w:kern w:val="0"/>
      <w:sz w:val="32"/>
      <w:szCs w:val="32"/>
      <w:lang w:eastAsia="en-US"/>
    </w:rPr>
  </w:style>
  <w:style w:type="character" w:customStyle="1" w:styleId="13">
    <w:name w:val="页眉 字符"/>
    <w:basedOn w:val="9"/>
    <w:link w:val="5"/>
    <w:qFormat/>
    <w:uiPriority w:val="99"/>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paragraph" w:customStyle="1" w:styleId="15">
    <w:name w:val="71e7dc79-1ff7-45e8-997d-0ebda3762b91"/>
    <w:basedOn w:val="2"/>
    <w:next w:val="16"/>
    <w:qFormat/>
    <w:uiPriority w:val="0"/>
    <w:pPr>
      <w:adjustRightInd w:val="0"/>
      <w:spacing w:afterLines="50" w:line="288" w:lineRule="auto"/>
      <w:jc w:val="left"/>
    </w:pPr>
    <w:rPr>
      <w:rFonts w:ascii="微软雅黑" w:hAnsi="微软雅黑" w:eastAsia="微软雅黑"/>
      <w:color w:val="000000"/>
      <w:spacing w:val="-1"/>
      <w:sz w:val="28"/>
      <w:szCs w:val="36"/>
    </w:rPr>
  </w:style>
  <w:style w:type="paragraph" w:customStyle="1" w:styleId="16">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 w:type="paragraph" w:customStyle="1" w:styleId="17">
    <w:name w:val="修订1"/>
    <w:hidden/>
    <w:unhideWhenUsed/>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D03A-8183-4ACD-9C53-2491E615B22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3463</Words>
  <Characters>3703</Characters>
  <Lines>27</Lines>
  <Paragraphs>7</Paragraphs>
  <TotalTime>10</TotalTime>
  <ScaleCrop>false</ScaleCrop>
  <LinksUpToDate>false</LinksUpToDate>
  <CharactersWithSpaces>3773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2026-03-11T06:12:00Z</dcterms:created>
  <dc:creator>dell</dc:creator>
  <cp:lastModifiedBy>于小爪儿</cp:lastModifiedBy>
  <cp:lastPrinted>2024-03-14T10:12:00Z</cp:lastPrinted>
  <dcterms:modified xsi:type="dcterms:W3CDTF">2026-03-24T00:42:26Z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AAA7395F9C24400CB6C2AD3CDB49DA8E_13</vt:lpwstr>
  </property>
  <property fmtid="{D5CDD505-2E9C-101B-9397-08002B2CF9AE}" pid="4" name="KSOTemplateDocerSaveRecord">
    <vt:lpwstr>eyJoZGlkIjoiYzAzZmNlYmMyNGJjM2E5YzJlYWM3ZWI2ZDdjYzgzOGUiLCJ1c2VySWQiOiI2NjU2Nzg4NjgifQ==</vt:lpwstr>
  </property>
</Properties>
</file>