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55320">
      <w:pPr>
        <w:pStyle w:val="3"/>
        <w:snapToGrid w:val="0"/>
        <w:spacing w:before="0" w:line="360" w:lineRule="auto"/>
        <w:ind w:left="0" w:right="397"/>
        <w:jc w:val="center"/>
        <w:rPr>
          <w:rFonts w:hint="eastAsia"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商务经济学院2026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硕士</w:t>
      </w:r>
      <w:r>
        <w:rPr>
          <w:rFonts w:ascii="Times New Roman" w:hAnsi="Times New Roman" w:eastAsia="华文中宋" w:cs="Times New Roman"/>
          <w:sz w:val="36"/>
          <w:szCs w:val="36"/>
          <w:lang w:eastAsia="zh-CN"/>
        </w:rPr>
        <w:t>研究生招生复试</w:t>
      </w:r>
      <w:r>
        <w:rPr>
          <w:rFonts w:hint="eastAsia" w:ascii="Times New Roman" w:hAnsi="Times New Roman" w:eastAsia="华文中宋" w:cs="Times New Roman"/>
          <w:sz w:val="36"/>
          <w:szCs w:val="36"/>
          <w:lang w:eastAsia="zh-CN"/>
        </w:rPr>
        <w:t>实施细则</w:t>
      </w:r>
    </w:p>
    <w:p w14:paraId="386D8256">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根据</w:t>
      </w:r>
      <w:r>
        <w:rPr>
          <w:rFonts w:hint="eastAsia" w:ascii="Times New Roman" w:hAnsi="Times New Roman" w:eastAsia="仿宋_GB2312" w:cs="Times New Roman"/>
          <w:lang w:eastAsia="zh-CN"/>
        </w:rPr>
        <w:t>教育部</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年全国硕士研究生招生工作管理规定》</w:t>
      </w:r>
      <w:r>
        <w:rPr>
          <w:rFonts w:hint="eastAsia" w:ascii="Times New Roman" w:hAnsi="Times New Roman" w:eastAsia="仿宋_GB2312" w:cs="Times New Roman"/>
          <w:lang w:eastAsia="zh-CN"/>
        </w:rPr>
        <w:t>《关于做好2026年全国硕士研究生招生复试录取工作的通知》、上海市教育考试院</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上海市2026</w:t>
      </w:r>
      <w:r>
        <w:rPr>
          <w:rFonts w:ascii="Times New Roman" w:hAnsi="Times New Roman" w:eastAsia="仿宋_GB2312" w:cs="Times New Roman"/>
          <w:lang w:eastAsia="zh-CN"/>
        </w:rPr>
        <w:t>年硕士研究生复试</w:t>
      </w:r>
      <w:r>
        <w:rPr>
          <w:rFonts w:hint="eastAsia" w:ascii="Times New Roman" w:hAnsi="Times New Roman" w:eastAsia="仿宋_GB2312" w:cs="Times New Roman"/>
          <w:lang w:eastAsia="zh-CN"/>
        </w:rPr>
        <w:t>录取</w:t>
      </w:r>
      <w:r>
        <w:rPr>
          <w:rFonts w:ascii="Times New Roman" w:hAnsi="Times New Roman" w:eastAsia="仿宋_GB2312" w:cs="Times New Roman"/>
          <w:lang w:eastAsia="zh-CN"/>
        </w:rPr>
        <w:t>工作</w:t>
      </w:r>
      <w:r>
        <w:rPr>
          <w:rFonts w:hint="eastAsia" w:ascii="Times New Roman" w:hAnsi="Times New Roman" w:eastAsia="仿宋_GB2312" w:cs="Times New Roman"/>
          <w:lang w:eastAsia="zh-CN"/>
        </w:rPr>
        <w:t>指导意见</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等文件和</w:t>
      </w:r>
      <w:r>
        <w:rPr>
          <w:rFonts w:ascii="Times New Roman" w:hAnsi="Times New Roman" w:eastAsia="仿宋_GB2312" w:cs="Times New Roman"/>
          <w:lang w:eastAsia="zh-CN"/>
        </w:rPr>
        <w:t>《上海商学院硕士研究生招生工作管理办法》《上海商学院</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年硕士研究生招生</w:t>
      </w:r>
      <w:r>
        <w:rPr>
          <w:rFonts w:hint="eastAsia" w:ascii="Times New Roman" w:hAnsi="Times New Roman" w:eastAsia="仿宋_GB2312" w:cs="Times New Roman"/>
          <w:lang w:eastAsia="zh-CN"/>
        </w:rPr>
        <w:t>复试实施方案</w:t>
      </w:r>
      <w:r>
        <w:rPr>
          <w:rFonts w:ascii="Times New Roman" w:hAnsi="Times New Roman" w:eastAsia="仿宋_GB2312" w:cs="Times New Roman"/>
          <w:lang w:eastAsia="zh-CN"/>
        </w:rPr>
        <w:t>》等规定，</w:t>
      </w:r>
      <w:r>
        <w:rPr>
          <w:rFonts w:hint="eastAsia" w:ascii="Times New Roman" w:hAnsi="Times New Roman" w:eastAsia="仿宋_GB2312" w:cs="Times New Roman"/>
          <w:lang w:eastAsia="zh-CN"/>
        </w:rPr>
        <w:t>特</w:t>
      </w:r>
      <w:r>
        <w:rPr>
          <w:rFonts w:ascii="Times New Roman" w:hAnsi="Times New Roman" w:eastAsia="仿宋_GB2312" w:cs="Times New Roman"/>
          <w:lang w:eastAsia="zh-CN"/>
        </w:rPr>
        <w:t>制定</w:t>
      </w:r>
      <w:r>
        <w:rPr>
          <w:rFonts w:hint="eastAsia" w:ascii="Times New Roman" w:hAnsi="Times New Roman" w:eastAsia="仿宋_GB2312" w:cs="Times New Roman"/>
          <w:lang w:eastAsia="zh-CN"/>
        </w:rPr>
        <w:t>本细则</w:t>
      </w:r>
      <w:r>
        <w:rPr>
          <w:rFonts w:ascii="Times New Roman" w:hAnsi="Times New Roman" w:eastAsia="仿宋_GB2312" w:cs="Times New Roman"/>
          <w:lang w:eastAsia="zh-CN"/>
        </w:rPr>
        <w:t>。</w:t>
      </w:r>
    </w:p>
    <w:p w14:paraId="5C2DFBE0">
      <w:pPr>
        <w:pStyle w:val="3"/>
        <w:numPr>
          <w:ilvl w:val="0"/>
          <w:numId w:val="1"/>
        </w:numPr>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指导思想</w:t>
      </w:r>
    </w:p>
    <w:p w14:paraId="6B24AA06">
      <w:pPr>
        <w:pStyle w:val="3"/>
        <w:snapToGrid w:val="0"/>
        <w:spacing w:before="0" w:line="360" w:lineRule="auto"/>
        <w:ind w:right="390" w:firstLine="479"/>
        <w:jc w:val="both"/>
        <w:rPr>
          <w:rFonts w:ascii="Times New Roman" w:hAnsi="Times New Roman" w:eastAsia="黑体" w:cs="Times New Roman"/>
          <w:lang w:eastAsia="zh-CN"/>
        </w:rPr>
      </w:pPr>
      <w:r>
        <w:rPr>
          <w:rFonts w:hint="eastAsia" w:ascii="Times New Roman" w:hAnsi="Times New Roman" w:eastAsia="仿宋_GB2312" w:cs="Times New Roman"/>
          <w:lang w:eastAsia="zh-CN"/>
        </w:rPr>
        <w:t>（一）坚持立德树人。坚持德智体美劳全面衡量，以德为先，把学生思想品德考核作为复试的重要内容和录取的重要依据。</w:t>
      </w:r>
    </w:p>
    <w:p w14:paraId="789B865D">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（二）坚持科学选拔。坚持全面考查，突出重点。坚持把考查考生综合素质和专业水平作为复试核心任务的原则，选拔具有突出创新能力、良好学术潜力和实践能力的人才。</w:t>
      </w:r>
    </w:p>
    <w:p w14:paraId="017E8411">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（三）坚持公平公正。做到政策透明、流程规范，确保质量、按需招生、择优选拔、宁缺毋滥。</w:t>
      </w:r>
    </w:p>
    <w:p w14:paraId="6D9D3167">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（四）坚持以人为本。增强服务意识，在复试录取过程中切实做到尊重考生，服务考生，维护考生合法权益。</w:t>
      </w:r>
    </w:p>
    <w:p w14:paraId="24381A07">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黑体" w:cs="Times New Roman"/>
          <w:lang w:eastAsia="zh-CN"/>
        </w:rPr>
        <w:t>二、组织管理</w:t>
      </w:r>
    </w:p>
    <w:p w14:paraId="0B75E23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（一）学校研究生招生委员会负责学校的研究生招生复试和录取工作。</w:t>
      </w:r>
    </w:p>
    <w:p w14:paraId="5852FD7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（二）学校研究生招生工作监察小组对全校研究生复试工作进行全程监督。</w:t>
      </w:r>
    </w:p>
    <w:p w14:paraId="5D82C853">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（三）学院研究生招生工作领导小组全面领导学院研究生复试工作，负责组织和协调本学院研究生复试选拔工作，并对本学院的招生工作结果负责。</w:t>
      </w:r>
    </w:p>
    <w:p w14:paraId="7A59446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（四）学院成立研究生招生工作监察小组，并根据有关规定对学院研究生招生复试工作进行全程监督。</w:t>
      </w:r>
    </w:p>
    <w:p w14:paraId="5A1A8944">
      <w:pPr>
        <w:pStyle w:val="3"/>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三、复试方式、时间和内容</w:t>
      </w:r>
    </w:p>
    <w:p w14:paraId="4E79BC49">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（一）复试方式、时间</w:t>
      </w:r>
    </w:p>
    <w:p w14:paraId="71DC919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1.一志愿复试</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378"/>
        <w:gridCol w:w="2165"/>
        <w:gridCol w:w="1418"/>
        <w:gridCol w:w="2693"/>
      </w:tblGrid>
      <w:tr w14:paraId="4434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55" w:type="dxa"/>
            <w:vAlign w:val="center"/>
          </w:tcPr>
          <w:p w14:paraId="13D0D21E">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报考专业</w:t>
            </w:r>
          </w:p>
        </w:tc>
        <w:tc>
          <w:tcPr>
            <w:tcW w:w="1378" w:type="dxa"/>
            <w:vAlign w:val="center"/>
          </w:tcPr>
          <w:p w14:paraId="56984BEC">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复试形式</w:t>
            </w:r>
          </w:p>
        </w:tc>
        <w:tc>
          <w:tcPr>
            <w:tcW w:w="2165" w:type="dxa"/>
            <w:vAlign w:val="center"/>
          </w:tcPr>
          <w:p w14:paraId="4D197CF9">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复试地点</w:t>
            </w:r>
          </w:p>
        </w:tc>
        <w:tc>
          <w:tcPr>
            <w:tcW w:w="1418" w:type="dxa"/>
            <w:vAlign w:val="center"/>
          </w:tcPr>
          <w:p w14:paraId="65DC3F83">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复试时间</w:t>
            </w:r>
          </w:p>
        </w:tc>
        <w:tc>
          <w:tcPr>
            <w:tcW w:w="2693" w:type="dxa"/>
            <w:vAlign w:val="center"/>
          </w:tcPr>
          <w:p w14:paraId="4D7D6360">
            <w:pPr>
              <w:pStyle w:val="3"/>
              <w:snapToGrid w:val="0"/>
              <w:spacing w:before="0" w:line="360" w:lineRule="auto"/>
              <w:ind w:left="0" w:right="117"/>
              <w:jc w:val="center"/>
              <w:rPr>
                <w:rFonts w:ascii="仿宋_GB2312" w:hAnsi="Times New Roman" w:eastAsia="仿宋_GB2312" w:cs="Times New Roman"/>
                <w:lang w:eastAsia="zh-CN"/>
              </w:rPr>
            </w:pPr>
            <w:r>
              <w:rPr>
                <w:rFonts w:hint="eastAsia" w:ascii="仿宋_GB2312" w:hAnsi="Arial" w:eastAsia="仿宋_GB2312" w:cs="Arial"/>
                <w:sz w:val="26"/>
                <w:szCs w:val="26"/>
                <w:shd w:val="clear" w:color="auto" w:fill="FFFFFF"/>
                <w:lang w:eastAsia="zh-CN"/>
              </w:rPr>
              <w:t>联系方式</w:t>
            </w:r>
          </w:p>
        </w:tc>
      </w:tr>
      <w:tr w14:paraId="5FC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1BCB122">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国际商务</w:t>
            </w:r>
          </w:p>
        </w:tc>
        <w:tc>
          <w:tcPr>
            <w:tcW w:w="1378" w:type="dxa"/>
            <w:vAlign w:val="center"/>
          </w:tcPr>
          <w:p w14:paraId="07DC3EE5">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线下</w:t>
            </w:r>
          </w:p>
        </w:tc>
        <w:tc>
          <w:tcPr>
            <w:tcW w:w="2165" w:type="dxa"/>
            <w:vAlign w:val="center"/>
          </w:tcPr>
          <w:p w14:paraId="5EE42EDB">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中山西路校区</w:t>
            </w:r>
          </w:p>
        </w:tc>
        <w:tc>
          <w:tcPr>
            <w:tcW w:w="1418" w:type="dxa"/>
            <w:vAlign w:val="center"/>
          </w:tcPr>
          <w:p w14:paraId="72E668AA">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3月24日上午</w:t>
            </w:r>
          </w:p>
        </w:tc>
        <w:tc>
          <w:tcPr>
            <w:tcW w:w="2693" w:type="dxa"/>
            <w:vAlign w:val="center"/>
          </w:tcPr>
          <w:p w14:paraId="41A26AC0">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王老师</w:t>
            </w:r>
          </w:p>
          <w:p w14:paraId="0C4A2B2F">
            <w:pPr>
              <w:pStyle w:val="3"/>
              <w:snapToGrid w:val="0"/>
              <w:spacing w:before="0" w:line="360" w:lineRule="auto"/>
              <w:ind w:left="0" w:right="117"/>
              <w:jc w:val="center"/>
              <w:rPr>
                <w:rFonts w:ascii="仿宋_GB2312" w:hAnsi="Arial" w:eastAsia="仿宋_GB2312" w:cs="Arial"/>
                <w:sz w:val="26"/>
                <w:szCs w:val="26"/>
                <w:shd w:val="clear" w:color="auto" w:fill="FFFFFF"/>
                <w:lang w:eastAsia="zh-CN"/>
              </w:rPr>
            </w:pPr>
            <w:r>
              <w:rPr>
                <w:rFonts w:hint="eastAsia" w:ascii="仿宋_GB2312" w:hAnsi="Arial" w:eastAsia="仿宋_GB2312" w:cs="Arial"/>
                <w:sz w:val="26"/>
                <w:szCs w:val="26"/>
                <w:shd w:val="clear" w:color="auto" w:fill="FFFFFF"/>
                <w:lang w:eastAsia="zh-CN"/>
              </w:rPr>
              <w:t>021-64163278</w:t>
            </w:r>
          </w:p>
        </w:tc>
      </w:tr>
    </w:tbl>
    <w:p w14:paraId="7D0AB6E8">
      <w:pPr>
        <w:pStyle w:val="3"/>
        <w:snapToGrid w:val="0"/>
        <w:spacing w:before="0" w:line="360" w:lineRule="auto"/>
        <w:ind w:left="760" w:right="117"/>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2.调剂复试</w:t>
      </w:r>
    </w:p>
    <w:p w14:paraId="3A50A7AF">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调剂复试采取远程网络复试，调剂考生复试于4月8日正式开始，4月28日前完成。</w:t>
      </w:r>
    </w:p>
    <w:p w14:paraId="3E2C9515">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学院后续将按规定公布调剂细则和相关通知。</w:t>
      </w:r>
    </w:p>
    <w:p w14:paraId="5414E9B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（二）差额比例</w:t>
      </w:r>
    </w:p>
    <w:p w14:paraId="04E4AED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复试采取差额形式，复试考生一般不少于招生计划的120%。合格生源比例不足的，按实际合格生源数组织复试。</w:t>
      </w:r>
    </w:p>
    <w:p w14:paraId="54556FD2">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）复试</w:t>
      </w:r>
      <w:r>
        <w:rPr>
          <w:rFonts w:hint="eastAsia" w:ascii="Times New Roman" w:hAnsi="Times New Roman" w:eastAsia="仿宋_GB2312" w:cs="Times New Roman"/>
          <w:lang w:eastAsia="zh-CN"/>
        </w:rPr>
        <w:t>内容（线下线上内容一致）</w:t>
      </w:r>
    </w:p>
    <w:p w14:paraId="459F87B3">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1.复试内容包括：</w:t>
      </w:r>
    </w:p>
    <w:p w14:paraId="19688698">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复试形式为面试，每生复试时间不少于</w:t>
      </w:r>
      <w:r>
        <w:rPr>
          <w:rFonts w:hint="eastAsia" w:ascii="Times New Roman" w:hAnsi="Times New Roman" w:eastAsia="仿宋_GB2312" w:cs="Times New Roman"/>
          <w:lang w:eastAsia="zh-CN"/>
        </w:rPr>
        <w:t>20分钟。</w:t>
      </w:r>
    </w:p>
    <w:p w14:paraId="5A00330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复试满分成绩为100 分。具体复试内容包括：</w:t>
      </w:r>
    </w:p>
    <w:p w14:paraId="6362346F">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考核内容主要包括思想政治素质和品德考核及所报考专业的综合知识与技能（8</w:t>
      </w:r>
      <w:r>
        <w:rPr>
          <w:rFonts w:ascii="Times New Roman" w:hAnsi="Times New Roman" w:eastAsia="仿宋_GB2312" w:cs="Times New Roman"/>
          <w:lang w:eastAsia="zh-CN"/>
        </w:rPr>
        <w:t>0</w:t>
      </w:r>
      <w:r>
        <w:rPr>
          <w:rFonts w:hint="eastAsia" w:ascii="Times New Roman" w:hAnsi="Times New Roman" w:eastAsia="仿宋_GB2312" w:cs="Times New Roman"/>
          <w:lang w:eastAsia="zh-CN"/>
        </w:rPr>
        <w:t>分）、外国语水平（2</w:t>
      </w:r>
      <w:r>
        <w:rPr>
          <w:rFonts w:ascii="Times New Roman" w:hAnsi="Times New Roman" w:eastAsia="仿宋_GB2312" w:cs="Times New Roman"/>
          <w:lang w:eastAsia="zh-CN"/>
        </w:rPr>
        <w:t>0</w:t>
      </w:r>
      <w:r>
        <w:rPr>
          <w:rFonts w:hint="eastAsia" w:ascii="Times New Roman" w:hAnsi="Times New Roman" w:eastAsia="仿宋_GB2312" w:cs="Times New Roman"/>
          <w:lang w:eastAsia="zh-CN"/>
        </w:rPr>
        <w:t>分）等。</w:t>
      </w:r>
    </w:p>
    <w:p w14:paraId="58C6CB00">
      <w:pPr>
        <w:widowControl/>
        <w:shd w:val="clear" w:color="auto" w:fill="FFFFFF"/>
        <w:spacing w:line="450" w:lineRule="atLeast"/>
        <w:jc w:val="center"/>
        <w:rPr>
          <w:rFonts w:ascii="微软雅黑" w:hAnsi="微软雅黑" w:eastAsia="微软雅黑" w:cs="宋体"/>
          <w:color w:val="666666"/>
          <w:kern w:val="0"/>
          <w:szCs w:val="21"/>
        </w:rPr>
      </w:pPr>
      <w:r>
        <w:rPr>
          <w:rFonts w:hint="eastAsia" w:ascii="仿宋_GB2312" w:hAnsi="微软雅黑" w:eastAsia="仿宋_GB2312" w:cs="宋体"/>
          <w:color w:val="000000"/>
          <w:kern w:val="0"/>
          <w:sz w:val="29"/>
          <w:szCs w:val="29"/>
        </w:rPr>
        <w:t>复试科目、同等学力加试科目及参考书目</w:t>
      </w:r>
    </w:p>
    <w:tbl>
      <w:tblPr>
        <w:tblStyle w:val="7"/>
        <w:tblW w:w="9214" w:type="dxa"/>
        <w:jc w:val="center"/>
        <w:tblLayout w:type="autofit"/>
        <w:tblCellMar>
          <w:top w:w="0" w:type="dxa"/>
          <w:left w:w="0" w:type="dxa"/>
          <w:bottom w:w="0" w:type="dxa"/>
          <w:right w:w="0" w:type="dxa"/>
        </w:tblCellMar>
      </w:tblPr>
      <w:tblGrid>
        <w:gridCol w:w="843"/>
        <w:gridCol w:w="930"/>
        <w:gridCol w:w="1197"/>
        <w:gridCol w:w="1850"/>
        <w:gridCol w:w="3260"/>
        <w:gridCol w:w="1134"/>
      </w:tblGrid>
      <w:tr w14:paraId="2BC4B483">
        <w:tblPrEx>
          <w:tblCellMar>
            <w:top w:w="0" w:type="dxa"/>
            <w:left w:w="0" w:type="dxa"/>
            <w:bottom w:w="0" w:type="dxa"/>
            <w:right w:w="0" w:type="dxa"/>
          </w:tblCellMar>
        </w:tblPrEx>
        <w:trPr>
          <w:jc w:val="center"/>
        </w:trPr>
        <w:tc>
          <w:tcPr>
            <w:tcW w:w="84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D66AB0C">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专业</w:t>
            </w:r>
          </w:p>
          <w:p w14:paraId="46BCC25A">
            <w:pPr>
              <w:widowControl/>
              <w:adjustRightInd w:val="0"/>
              <w:snapToGrid w:val="0"/>
              <w:jc w:val="center"/>
              <w:rPr>
                <w:rFonts w:ascii="宋体" w:hAnsi="宋体" w:eastAsia="宋体" w:cs="宋体"/>
                <w:color w:val="666666"/>
                <w:kern w:val="0"/>
                <w:szCs w:val="21"/>
              </w:rPr>
            </w:pPr>
            <w:r>
              <w:rPr>
                <w:rFonts w:hint="eastAsia" w:ascii="仿宋_GB2312" w:hAnsi="宋体" w:eastAsia="仿宋_GB2312" w:cs="宋体"/>
                <w:color w:val="000000"/>
                <w:kern w:val="0"/>
                <w:szCs w:val="24"/>
              </w:rPr>
              <w:t>代码</w:t>
            </w:r>
          </w:p>
        </w:tc>
        <w:tc>
          <w:tcPr>
            <w:tcW w:w="9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278CC1D">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专业</w:t>
            </w:r>
          </w:p>
          <w:p w14:paraId="7F3B5111">
            <w:pPr>
              <w:widowControl/>
              <w:adjustRightInd w:val="0"/>
              <w:snapToGrid w:val="0"/>
              <w:jc w:val="center"/>
              <w:rPr>
                <w:rFonts w:ascii="宋体" w:hAnsi="宋体" w:eastAsia="宋体" w:cs="宋体"/>
                <w:color w:val="666666"/>
                <w:kern w:val="0"/>
                <w:szCs w:val="21"/>
              </w:rPr>
            </w:pPr>
            <w:r>
              <w:rPr>
                <w:rFonts w:hint="eastAsia" w:ascii="仿宋_GB2312" w:hAnsi="宋体" w:eastAsia="仿宋_GB2312" w:cs="宋体"/>
                <w:color w:val="000000"/>
                <w:kern w:val="0"/>
                <w:szCs w:val="24"/>
              </w:rPr>
              <w:t>名称</w:t>
            </w:r>
          </w:p>
        </w:tc>
        <w:tc>
          <w:tcPr>
            <w:tcW w:w="11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1A205E5">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研究</w:t>
            </w:r>
          </w:p>
          <w:p w14:paraId="5FC8DA76">
            <w:pPr>
              <w:widowControl/>
              <w:adjustRightInd w:val="0"/>
              <w:snapToGrid w:val="0"/>
              <w:jc w:val="center"/>
              <w:rPr>
                <w:rFonts w:ascii="宋体" w:hAnsi="宋体" w:eastAsia="宋体" w:cs="宋体"/>
                <w:color w:val="666666"/>
                <w:kern w:val="0"/>
                <w:szCs w:val="21"/>
              </w:rPr>
            </w:pPr>
            <w:r>
              <w:rPr>
                <w:rFonts w:hint="eastAsia" w:ascii="仿宋_GB2312" w:hAnsi="宋体" w:eastAsia="仿宋_GB2312" w:cs="宋体"/>
                <w:color w:val="000000"/>
                <w:kern w:val="0"/>
                <w:szCs w:val="24"/>
              </w:rPr>
              <w:t>方向</w:t>
            </w:r>
          </w:p>
        </w:tc>
        <w:tc>
          <w:tcPr>
            <w:tcW w:w="18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3730824">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复试科目</w:t>
            </w:r>
          </w:p>
        </w:tc>
        <w:tc>
          <w:tcPr>
            <w:tcW w:w="32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0C0CEC">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参考</w:t>
            </w:r>
          </w:p>
          <w:p w14:paraId="5C5863EB">
            <w:pPr>
              <w:widowControl/>
              <w:adjustRightInd w:val="0"/>
              <w:snapToGrid w:val="0"/>
              <w:jc w:val="center"/>
              <w:rPr>
                <w:rFonts w:ascii="宋体" w:hAnsi="宋体" w:eastAsia="宋体" w:cs="宋体"/>
                <w:color w:val="666666"/>
                <w:kern w:val="0"/>
                <w:szCs w:val="21"/>
              </w:rPr>
            </w:pPr>
            <w:r>
              <w:rPr>
                <w:rFonts w:hint="eastAsia" w:ascii="仿宋_GB2312" w:hAnsi="宋体" w:eastAsia="仿宋_GB2312" w:cs="宋体"/>
                <w:color w:val="000000"/>
                <w:kern w:val="0"/>
                <w:szCs w:val="24"/>
              </w:rPr>
              <w:t>书目</w:t>
            </w:r>
          </w:p>
        </w:tc>
        <w:tc>
          <w:tcPr>
            <w:tcW w:w="1134" w:type="dxa"/>
            <w:tcBorders>
              <w:top w:val="single" w:color="000000" w:sz="6" w:space="0"/>
              <w:left w:val="single" w:color="000000" w:sz="6" w:space="0"/>
              <w:bottom w:val="single" w:color="000000" w:sz="6" w:space="0"/>
              <w:right w:val="single" w:color="000000" w:sz="6" w:space="0"/>
            </w:tcBorders>
          </w:tcPr>
          <w:p w14:paraId="45FE1253">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同等</w:t>
            </w:r>
          </w:p>
          <w:p w14:paraId="3F11DFD5">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学力</w:t>
            </w:r>
          </w:p>
        </w:tc>
      </w:tr>
      <w:tr w14:paraId="49AE46FD">
        <w:tblPrEx>
          <w:tblCellMar>
            <w:top w:w="0" w:type="dxa"/>
            <w:left w:w="0" w:type="dxa"/>
            <w:bottom w:w="0" w:type="dxa"/>
            <w:right w:w="0" w:type="dxa"/>
          </w:tblCellMar>
        </w:tblPrEx>
        <w:trPr>
          <w:jc w:val="center"/>
        </w:trPr>
        <w:tc>
          <w:tcPr>
            <w:tcW w:w="84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44DE008">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0</w:t>
            </w:r>
            <w:r>
              <w:rPr>
                <w:rFonts w:ascii="仿宋_GB2312" w:hAnsi="宋体" w:eastAsia="仿宋_GB2312" w:cs="宋体"/>
                <w:color w:val="000000"/>
                <w:kern w:val="0"/>
                <w:szCs w:val="24"/>
              </w:rPr>
              <w:t>25100</w:t>
            </w:r>
          </w:p>
        </w:tc>
        <w:tc>
          <w:tcPr>
            <w:tcW w:w="9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984F9A">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金融</w:t>
            </w:r>
          </w:p>
        </w:tc>
        <w:tc>
          <w:tcPr>
            <w:tcW w:w="11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0327F5E">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（全日制）00不区分研究方向</w:t>
            </w:r>
          </w:p>
        </w:tc>
        <w:tc>
          <w:tcPr>
            <w:tcW w:w="18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C4D0A60">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1.专业综合能力</w:t>
            </w:r>
          </w:p>
          <w:p w14:paraId="5293B474">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2.英语口语与听力</w:t>
            </w:r>
          </w:p>
        </w:tc>
        <w:tc>
          <w:tcPr>
            <w:tcW w:w="32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7EAD19">
            <w:pPr>
              <w:widowControl/>
              <w:adjustRightInd w:val="0"/>
              <w:snapToGrid w:val="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1.《金融学》第六版黄达 张杰，中国人民大学出版社，2024年3月；</w:t>
            </w:r>
          </w:p>
          <w:p w14:paraId="21C33B3A">
            <w:pPr>
              <w:widowControl/>
              <w:adjustRightInd w:val="0"/>
              <w:snapToGrid w:val="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2.《公司理财》第十三版斯蒂芬 A. 罗斯，机械工业出版社，2024年1月；</w:t>
            </w:r>
          </w:p>
        </w:tc>
        <w:tc>
          <w:tcPr>
            <w:tcW w:w="1134" w:type="dxa"/>
            <w:tcBorders>
              <w:top w:val="single" w:color="000000" w:sz="6" w:space="0"/>
              <w:left w:val="single" w:color="000000" w:sz="6" w:space="0"/>
              <w:bottom w:val="single" w:color="000000" w:sz="6" w:space="0"/>
              <w:right w:val="single" w:color="000000" w:sz="6" w:space="0"/>
            </w:tcBorders>
            <w:vAlign w:val="center"/>
          </w:tcPr>
          <w:p w14:paraId="59C3DAD0">
            <w:pPr>
              <w:widowControl/>
              <w:spacing w:line="450" w:lineRule="atLeast"/>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不招收同等学力考生</w:t>
            </w:r>
          </w:p>
        </w:tc>
      </w:tr>
      <w:tr w14:paraId="538F1A5C">
        <w:tblPrEx>
          <w:tblCellMar>
            <w:top w:w="0" w:type="dxa"/>
            <w:left w:w="0" w:type="dxa"/>
            <w:bottom w:w="0" w:type="dxa"/>
            <w:right w:w="0" w:type="dxa"/>
          </w:tblCellMar>
        </w:tblPrEx>
        <w:trPr>
          <w:jc w:val="center"/>
        </w:trPr>
        <w:tc>
          <w:tcPr>
            <w:tcW w:w="84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E62131">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025400</w:t>
            </w:r>
          </w:p>
        </w:tc>
        <w:tc>
          <w:tcPr>
            <w:tcW w:w="9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942101">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国际商务</w:t>
            </w:r>
          </w:p>
        </w:tc>
        <w:tc>
          <w:tcPr>
            <w:tcW w:w="11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DC2F2CA">
            <w:pPr>
              <w:widowControl/>
              <w:adjustRightInd w:val="0"/>
              <w:snapToGrid w:val="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（全日制）00不区分研究方向</w:t>
            </w:r>
          </w:p>
        </w:tc>
        <w:tc>
          <w:tcPr>
            <w:tcW w:w="18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AE8F78B">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1.专业综合能力</w:t>
            </w:r>
          </w:p>
          <w:p w14:paraId="266D3FE7">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2.英语口语与听力</w:t>
            </w:r>
          </w:p>
          <w:p w14:paraId="4839416E">
            <w:pPr>
              <w:widowControl/>
              <w:adjustRightInd w:val="0"/>
              <w:snapToGrid w:val="0"/>
              <w:jc w:val="left"/>
              <w:rPr>
                <w:rFonts w:ascii="仿宋_GB2312" w:hAnsi="宋体" w:eastAsia="仿宋_GB2312" w:cs="宋体"/>
                <w:color w:val="000000"/>
                <w:kern w:val="0"/>
                <w:szCs w:val="24"/>
              </w:rPr>
            </w:pPr>
          </w:p>
        </w:tc>
        <w:tc>
          <w:tcPr>
            <w:tcW w:w="32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79001DC">
            <w:pPr>
              <w:widowControl/>
              <w:adjustRightInd w:val="0"/>
              <w:snapToGrid w:val="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1.《经济学原理》（微观、宏观经济学分册）（第8版），曼昆著，梁小民等译，北京大学出版社，2020年7月；</w:t>
            </w:r>
          </w:p>
          <w:p w14:paraId="4AA43A26">
            <w:pPr>
              <w:widowControl/>
              <w:adjustRightInd w:val="0"/>
              <w:snapToGrid w:val="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2.《国际经济学：理论与政策》（第11版），克鲁格曼、奥伯斯法尔德、梅丽兹著，中国人民大学出版社，2021年1月。</w:t>
            </w:r>
          </w:p>
        </w:tc>
        <w:tc>
          <w:tcPr>
            <w:tcW w:w="1134" w:type="dxa"/>
            <w:tcBorders>
              <w:top w:val="single" w:color="000000" w:sz="6" w:space="0"/>
              <w:left w:val="single" w:color="000000" w:sz="6" w:space="0"/>
              <w:bottom w:val="single" w:color="000000" w:sz="6" w:space="0"/>
              <w:right w:val="single" w:color="000000" w:sz="6" w:space="0"/>
            </w:tcBorders>
            <w:vAlign w:val="center"/>
          </w:tcPr>
          <w:p w14:paraId="1957ACDB">
            <w:pPr>
              <w:widowControl/>
              <w:spacing w:line="450" w:lineRule="atLeast"/>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不招收同等学力考生</w:t>
            </w:r>
          </w:p>
        </w:tc>
      </w:tr>
    </w:tbl>
    <w:p w14:paraId="0F0FC62D">
      <w:pPr>
        <w:pStyle w:val="3"/>
        <w:snapToGrid w:val="0"/>
        <w:spacing w:before="0" w:line="360" w:lineRule="auto"/>
        <w:ind w:right="117" w:firstLine="640"/>
        <w:jc w:val="both"/>
        <w:rPr>
          <w:rFonts w:ascii="Times New Roman" w:hAnsi="Times New Roman" w:eastAsia="仿宋_GB2312" w:cs="Times New Roman"/>
          <w:lang w:eastAsia="zh-CN"/>
        </w:rPr>
      </w:pPr>
    </w:p>
    <w:p w14:paraId="23C2EAF6">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2.复试成绩满分为100分，复试成绩不合格(即低于60分)者不予录取。</w:t>
      </w:r>
    </w:p>
    <w:p w14:paraId="035D444D">
      <w:pPr>
        <w:pStyle w:val="3"/>
        <w:snapToGrid w:val="0"/>
        <w:spacing w:before="0" w:line="360" w:lineRule="auto"/>
        <w:ind w:left="760" w:right="353"/>
        <w:jc w:val="both"/>
        <w:rPr>
          <w:rFonts w:ascii="黑体" w:hAnsi="黑体" w:eastAsia="黑体"/>
          <w:lang w:eastAsia="zh-CN"/>
        </w:rPr>
      </w:pPr>
      <w:r>
        <w:rPr>
          <w:rFonts w:ascii="黑体" w:hAnsi="黑体" w:eastAsia="黑体"/>
          <w:lang w:eastAsia="zh-CN"/>
        </w:rPr>
        <w:t>四、复试程序</w:t>
      </w:r>
    </w:p>
    <w:p w14:paraId="2C11DF2B">
      <w:pPr>
        <w:tabs>
          <w:tab w:val="left" w:pos="1242"/>
        </w:tabs>
        <w:snapToGrid w:val="0"/>
        <w:spacing w:line="360" w:lineRule="auto"/>
        <w:ind w:right="99" w:firstLine="640" w:firstLineChars="200"/>
        <w:rPr>
          <w:rFonts w:ascii="黑体" w:hAnsi="黑体" w:eastAsia="黑体"/>
        </w:rPr>
      </w:pPr>
      <w:r>
        <w:rPr>
          <w:rFonts w:ascii="Times New Roman" w:hAnsi="Times New Roman" w:eastAsia="仿宋_GB2312" w:cs="Times New Roman"/>
          <w:color w:val="000000" w:themeColor="text1"/>
          <w:sz w:val="32"/>
          <w:szCs w:val="32"/>
          <w14:textFill>
            <w14:solidFill>
              <w14:schemeClr w14:val="tx1"/>
            </w14:solidFill>
          </w14:textFill>
        </w:rPr>
        <w:t>复试开始前由学院工作人员完成考生“两识别”“四比对”资格审查与身份认证。</w:t>
      </w:r>
    </w:p>
    <w:p w14:paraId="44AB3A0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（一）考生资料准备</w:t>
      </w:r>
    </w:p>
    <w:p w14:paraId="77DD19D8">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1.有效居民身份证件（若遗失提供派出所出具的证明）。</w:t>
      </w:r>
    </w:p>
    <w:p w14:paraId="7835595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2.准考证（可在中国研究生招生信息网下载）。</w:t>
      </w:r>
    </w:p>
    <w:p w14:paraId="31B26C8D">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3.《诚信复试承诺书》下载后手写签名。</w:t>
      </w:r>
    </w:p>
    <w:p w14:paraId="24FB2B6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4.学籍学历证明：</w:t>
      </w:r>
    </w:p>
    <w:p w14:paraId="52BBC6A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①应届毕业生提供经学信网申请的《教育部学籍在线验证报告》。</w:t>
      </w:r>
    </w:p>
    <w:p w14:paraId="08C111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②已毕业者提供经学信网申请的《教育部学历证书电子注册备案表》或《中国高等教育学历认证报告》。</w:t>
      </w:r>
    </w:p>
    <w:p w14:paraId="71C8EF4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③境外学历者提供教育部留学服务中心《国外学历学位认证书》。</w:t>
      </w:r>
    </w:p>
    <w:p w14:paraId="449075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④尚未取得本科毕业证书的自考和网络教育考生，需提供相关成绩证明。</w:t>
      </w:r>
    </w:p>
    <w:p w14:paraId="74ECE97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5.其他证明材料：</w:t>
      </w:r>
    </w:p>
    <w:p w14:paraId="3FC63095">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①符合教育部招生规定中加分政策的证明材料。</w:t>
      </w:r>
    </w:p>
    <w:p w14:paraId="201CDF4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考生一志愿录取类别为“定向”的考生，需提前准备“定向单位同意报考的证明材料”。</w:t>
      </w:r>
    </w:p>
    <w:p w14:paraId="18A0964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③招生学院要求的其他材料。</w:t>
      </w:r>
    </w:p>
    <w:p w14:paraId="11886E70">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全日制一志愿考生和全日制调剂考生的复试材料提交要求、报到时间、面试时间等详见后续学校研究生处网站（</w:t>
      </w:r>
      <w:r>
        <w:rPr>
          <w:rFonts w:ascii="Times New Roman" w:hAnsi="Times New Roman" w:eastAsia="仿宋_GB2312" w:cs="Times New Roman"/>
        </w:rPr>
        <w:t>http://yjs.sbs.edu.cn</w:t>
      </w:r>
      <w:r>
        <w:rPr>
          <w:rFonts w:hint="eastAsia" w:ascii="Times New Roman" w:hAnsi="Times New Roman" w:eastAsia="仿宋_GB2312" w:cs="Times New Roman"/>
          <w:lang w:eastAsia="zh-CN"/>
        </w:rPr>
        <w:t>）和商务经济学院网站（</w:t>
      </w:r>
      <w:bookmarkStart w:id="0" w:name="_Hlk193043848"/>
      <w:r>
        <w:rPr>
          <w:rFonts w:hint="eastAsia" w:ascii="Times New Roman" w:hAnsi="Times New Roman" w:eastAsia="仿宋_GB2312" w:cs="Times New Roman"/>
        </w:rPr>
        <w:t>https://swjjxy.sbs.edu.cn/</w:t>
      </w:r>
      <w:bookmarkEnd w:id="0"/>
      <w:r>
        <w:rPr>
          <w:rFonts w:hint="eastAsia" w:ascii="Times New Roman" w:hAnsi="Times New Roman" w:eastAsia="仿宋_GB2312" w:cs="Times New Roman"/>
          <w:lang w:eastAsia="zh-CN"/>
        </w:rPr>
        <w:t>）通知。</w:t>
      </w:r>
    </w:p>
    <w:p w14:paraId="2866C87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（二）资格审查</w:t>
      </w:r>
    </w:p>
    <w:p w14:paraId="0A25B6C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在复试前，要对参加复试的考生进行资格审查。通过资格审查的考生方可参加复试，对不符合规定者，不予复试。</w:t>
      </w:r>
    </w:p>
    <w:p w14:paraId="63E0DA0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（三）成立复试小组</w:t>
      </w:r>
    </w:p>
    <w:p w14:paraId="441A6A6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按照专业成立复试小组，每个小组一般由不少于五人的教师组成，设组长一人。</w:t>
      </w:r>
    </w:p>
    <w:p w14:paraId="447011E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（四）纪律教育和复试监管</w:t>
      </w:r>
    </w:p>
    <w:p w14:paraId="1A6AF49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在复试考试前，</w:t>
      </w:r>
      <w:r>
        <w:rPr>
          <w:rFonts w:ascii="Times New Roman" w:hAnsi="Times New Roman" w:eastAsia="仿宋_GB2312" w:cs="Times New Roman"/>
          <w:color w:val="000000" w:themeColor="text1"/>
          <w:sz w:val="32"/>
          <w:szCs w:val="32"/>
          <w14:textFill>
            <w14:solidFill>
              <w14:schemeClr w14:val="tx1"/>
            </w14:solidFill>
          </w14:textFill>
        </w:rPr>
        <w:t>应与考生逐一签订《诚信复试承诺书》，确保提交材料真实和复试过程诚信。</w:t>
      </w:r>
    </w:p>
    <w:p w14:paraId="143688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采用远程网络复试的，在考生复试过程中要求考生按规定开启摄像设备，利用“双机位”进行网上巡视监控。</w:t>
      </w:r>
    </w:p>
    <w:p w14:paraId="0B13AE4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学院研究生招生工作监察小组复试期间对复试工作进行全程监督。</w:t>
      </w:r>
    </w:p>
    <w:p w14:paraId="2CA526D1">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五、加分政策</w:t>
      </w:r>
    </w:p>
    <w:p w14:paraId="6041E33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初试加分严格按照按教育部和上海市有关文件执行。</w:t>
      </w:r>
    </w:p>
    <w:p w14:paraId="0716E61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符合初试总分加分条件的考生须在复试资格审查提交相关证明材料。</w:t>
      </w:r>
    </w:p>
    <w:p w14:paraId="06CC25B7">
      <w:pPr>
        <w:pStyle w:val="3"/>
        <w:snapToGrid w:val="0"/>
        <w:spacing w:line="360" w:lineRule="auto"/>
        <w:ind w:firstLine="640" w:firstLineChars="200"/>
        <w:jc w:val="both"/>
        <w:rPr>
          <w:rFonts w:ascii="黑体" w:hAnsi="黑体" w:eastAsia="黑体"/>
          <w:lang w:eastAsia="zh-CN"/>
        </w:rPr>
      </w:pPr>
      <w:r>
        <w:rPr>
          <w:rFonts w:ascii="黑体" w:hAnsi="黑体" w:eastAsia="黑体"/>
          <w:lang w:eastAsia="zh-CN"/>
        </w:rPr>
        <w:t>六、录取</w:t>
      </w:r>
      <w:r>
        <w:rPr>
          <w:rFonts w:hint="eastAsia" w:ascii="黑体" w:hAnsi="黑体" w:eastAsia="黑体"/>
          <w:lang w:eastAsia="zh-CN"/>
        </w:rPr>
        <w:t>工作</w:t>
      </w:r>
    </w:p>
    <w:p w14:paraId="60CF9EF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（一）总成绩=折算成100分的初试成绩×60%+复试总成绩×40%。根据总成绩排序，从高分到低分依次录取。</w:t>
      </w:r>
    </w:p>
    <w:p w14:paraId="181260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符合教育部《2026年全国硕士研究生招生工作管理规定》要求，可享受初试加分政策的考生，按要求提交相关材料</w:t>
      </w:r>
      <w:r>
        <w:rPr>
          <w:rFonts w:ascii="Times New Roman" w:hAnsi="Times New Roman" w:eastAsia="仿宋_GB2312" w:cs="Times New Roman"/>
          <w:color w:val="000000" w:themeColor="text1"/>
          <w:sz w:val="32"/>
          <w:szCs w:val="32"/>
          <w14:textFill>
            <w14:solidFill>
              <w14:schemeClr w14:val="tx1"/>
            </w14:solidFill>
          </w14:textFill>
        </w:rPr>
        <w:t>，经学校核实无误后给予认定</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40C97CB">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（三）复试期间发现考生不符合报考条件，或考试违纪、替考，思想品德考核不合格者不予录取。</w:t>
      </w:r>
    </w:p>
    <w:p w14:paraId="15B98BB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）当招生专业出现多名考生总成绩同分并列的情况，依下列顺序排列名次：当总成绩相同，复试成绩高者，名次前列；当总成绩和复试成绩相同者，专业课1成绩高者，名次前列。</w:t>
      </w:r>
    </w:p>
    <w:p w14:paraId="0A31F35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拟录取名单</w:t>
      </w:r>
      <w:r>
        <w:rPr>
          <w:rFonts w:hint="eastAsia" w:ascii="Times New Roman" w:hAnsi="Times New Roman" w:eastAsia="仿宋_GB2312" w:cs="Times New Roman"/>
          <w:color w:val="000000" w:themeColor="text1"/>
          <w:sz w:val="32"/>
          <w:szCs w:val="32"/>
          <w14:textFill>
            <w14:solidFill>
              <w14:schemeClr w14:val="tx1"/>
            </w14:solidFill>
          </w14:textFill>
        </w:rPr>
        <w:t>向社会公布</w:t>
      </w:r>
      <w:r>
        <w:rPr>
          <w:rFonts w:ascii="Times New Roman" w:hAnsi="Times New Roman" w:eastAsia="仿宋_GB2312" w:cs="Times New Roman"/>
          <w:color w:val="000000" w:themeColor="text1"/>
          <w:sz w:val="32"/>
          <w:szCs w:val="32"/>
          <w14:textFill>
            <w14:solidFill>
              <w14:schemeClr w14:val="tx1"/>
            </w14:solidFill>
          </w14:textFill>
        </w:rPr>
        <w:t>。</w:t>
      </w:r>
    </w:p>
    <w:p w14:paraId="0CD1EA1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bookmarkStart w:id="2" w:name="_GoBack"/>
      <w:bookmarkEnd w:id="2"/>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录取考生在开学时参加学校统一组织的入学体检。</w:t>
      </w:r>
    </w:p>
    <w:p w14:paraId="64A5FD1F">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七、违规处理</w:t>
      </w:r>
    </w:p>
    <w:p w14:paraId="4EEC82B3">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625EF13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3.入学后3个月内，学校将按照《普通高等学校学生管理规定》有关要求，对所有新生进行全面复查。复查不合格者，取消学籍。</w:t>
      </w:r>
    </w:p>
    <w:p w14:paraId="2A60CC17">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八、监督复议</w:t>
      </w:r>
    </w:p>
    <w:p w14:paraId="36B96696">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对申诉的问题经调查属实的，由校研究生招生工作领导小组及时进行处理，涉及复试过程中的违规违纪问题由校纪检监察机构处理。</w:t>
      </w:r>
    </w:p>
    <w:p w14:paraId="5E8269F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研究生处联系电话：021-64163253;校纪检监察机构联系电话：021-67105467。</w:t>
      </w:r>
    </w:p>
    <w:p w14:paraId="4C2914BB">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九、其它</w:t>
      </w:r>
    </w:p>
    <w:p w14:paraId="187DD972">
      <w:pPr>
        <w:pStyle w:val="3"/>
        <w:snapToGrid w:val="0"/>
        <w:spacing w:before="0" w:line="360" w:lineRule="auto"/>
        <w:ind w:right="117"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本方案由</w:t>
      </w:r>
      <w:r>
        <w:rPr>
          <w:rFonts w:hint="eastAsia" w:ascii="Times New Roman" w:hAnsi="Times New Roman" w:eastAsia="仿宋_GB2312" w:cs="Times New Roman"/>
          <w:color w:val="000000" w:themeColor="text1"/>
          <w:lang w:eastAsia="zh-CN"/>
          <w14:textFill>
            <w14:solidFill>
              <w14:schemeClr w14:val="tx1"/>
            </w14:solidFill>
          </w14:textFill>
        </w:rPr>
        <w:t>商务经济学院</w:t>
      </w:r>
      <w:r>
        <w:rPr>
          <w:rFonts w:ascii="Times New Roman" w:hAnsi="Times New Roman" w:eastAsia="仿宋_GB2312" w:cs="Times New Roman"/>
          <w:color w:val="000000" w:themeColor="text1"/>
          <w:lang w:eastAsia="zh-CN"/>
          <w14:textFill>
            <w14:solidFill>
              <w14:schemeClr w14:val="tx1"/>
            </w14:solidFill>
          </w14:textFill>
        </w:rPr>
        <w:t>研究生招生工作领导小组负责解释。未尽事宜以教育部《</w:t>
      </w:r>
      <w:r>
        <w:rPr>
          <w:rFonts w:hint="eastAsia" w:ascii="Times New Roman" w:hAnsi="Times New Roman" w:eastAsia="仿宋_GB2312" w:cs="Times New Roman"/>
          <w:color w:val="000000" w:themeColor="text1"/>
          <w:lang w:eastAsia="zh-CN"/>
          <w14:textFill>
            <w14:solidFill>
              <w14:schemeClr w14:val="tx1"/>
            </w14:solidFill>
          </w14:textFill>
        </w:rPr>
        <w:t>2026</w:t>
      </w:r>
      <w:r>
        <w:rPr>
          <w:rFonts w:ascii="Times New Roman" w:hAnsi="Times New Roman" w:eastAsia="仿宋_GB2312" w:cs="Times New Roman"/>
          <w:color w:val="000000" w:themeColor="text1"/>
          <w:lang w:eastAsia="zh-CN"/>
          <w14:textFill>
            <w14:solidFill>
              <w14:schemeClr w14:val="tx1"/>
            </w14:solidFill>
          </w14:textFill>
        </w:rPr>
        <w:t>年全国硕士研究生招生工作管理规定》等文件和学校相关规定为准。</w:t>
      </w:r>
    </w:p>
    <w:p w14:paraId="2949650D">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662"/>
        <w:gridCol w:w="2662"/>
      </w:tblGrid>
      <w:tr w14:paraId="2944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2287AC0B">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bookmarkStart w:id="1" w:name="_Toc191646855"/>
            <w:r>
              <w:rPr>
                <w:rFonts w:hint="eastAsia" w:ascii="Times New Roman" w:hAnsi="Times New Roman" w:eastAsia="仿宋_GB2312" w:cs="Times New Roman"/>
                <w:color w:val="000000" w:themeColor="text1"/>
                <w:kern w:val="2"/>
                <w:lang w:eastAsia="zh-CN"/>
                <w14:textFill>
                  <w14:solidFill>
                    <w14:schemeClr w14:val="tx1"/>
                  </w14:solidFill>
                </w14:textFill>
              </w:rPr>
              <w:t>报考专业</w:t>
            </w:r>
          </w:p>
        </w:tc>
        <w:tc>
          <w:tcPr>
            <w:tcW w:w="2662" w:type="dxa"/>
            <w:vAlign w:val="center"/>
          </w:tcPr>
          <w:p w14:paraId="49DFE6DB">
            <w:pPr>
              <w:pStyle w:val="3"/>
              <w:snapToGrid w:val="0"/>
              <w:spacing w:before="0" w:line="360" w:lineRule="auto"/>
              <w:ind w:right="117"/>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金融专项</w:t>
            </w:r>
          </w:p>
        </w:tc>
        <w:tc>
          <w:tcPr>
            <w:tcW w:w="2662" w:type="dxa"/>
            <w:vAlign w:val="center"/>
          </w:tcPr>
          <w:p w14:paraId="2DA836A0">
            <w:pPr>
              <w:pStyle w:val="3"/>
              <w:snapToGrid w:val="0"/>
              <w:spacing w:before="0" w:line="360" w:lineRule="auto"/>
              <w:ind w:right="117"/>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国际商务专硕</w:t>
            </w:r>
          </w:p>
        </w:tc>
      </w:tr>
      <w:tr w14:paraId="322F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211" w:type="dxa"/>
            <w:vAlign w:val="center"/>
          </w:tcPr>
          <w:p w14:paraId="42369E01">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联系人及电话</w:t>
            </w:r>
          </w:p>
        </w:tc>
        <w:tc>
          <w:tcPr>
            <w:tcW w:w="2662" w:type="dxa"/>
            <w:vAlign w:val="center"/>
          </w:tcPr>
          <w:p w14:paraId="44587317">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郭老师</w:t>
            </w:r>
          </w:p>
          <w:p w14:paraId="10441452">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021-37190256</w:t>
            </w:r>
          </w:p>
        </w:tc>
        <w:tc>
          <w:tcPr>
            <w:tcW w:w="2662" w:type="dxa"/>
            <w:vAlign w:val="center"/>
          </w:tcPr>
          <w:p w14:paraId="1ECC54E6">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王老师</w:t>
            </w:r>
          </w:p>
          <w:p w14:paraId="1FE1BD7E">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021-64163278</w:t>
            </w:r>
          </w:p>
        </w:tc>
      </w:tr>
      <w:tr w14:paraId="194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5E4DB70D">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联系邮箱</w:t>
            </w:r>
          </w:p>
        </w:tc>
        <w:tc>
          <w:tcPr>
            <w:tcW w:w="5324" w:type="dxa"/>
            <w:gridSpan w:val="2"/>
            <w:vAlign w:val="center"/>
          </w:tcPr>
          <w:p w14:paraId="66745DE3">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swjjxy@sbs.edu.cn</w:t>
            </w:r>
          </w:p>
        </w:tc>
      </w:tr>
      <w:tr w14:paraId="7F4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325D505B">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学院网址</w:t>
            </w:r>
          </w:p>
        </w:tc>
        <w:tc>
          <w:tcPr>
            <w:tcW w:w="5324" w:type="dxa"/>
            <w:gridSpan w:val="2"/>
            <w:vAlign w:val="center"/>
          </w:tcPr>
          <w:p w14:paraId="40E07DD6">
            <w:pPr>
              <w:pStyle w:val="3"/>
              <w:snapToGrid w:val="0"/>
              <w:spacing w:before="0" w:line="360" w:lineRule="auto"/>
              <w:ind w:left="0"/>
              <w:jc w:val="center"/>
              <w:rPr>
                <w:rFonts w:ascii="Times New Roman" w:hAnsi="Times New Roman" w:eastAsia="仿宋_GB2312" w:cs="Times New Roman"/>
                <w:color w:val="000000" w:themeColor="text1"/>
                <w:kern w:val="2"/>
                <w:lang w:eastAsia="zh-CN"/>
                <w14:textFill>
                  <w14:solidFill>
                    <w14:schemeClr w14:val="tx1"/>
                  </w14:solidFill>
                </w14:textFill>
              </w:rPr>
            </w:pPr>
            <w:r>
              <w:rPr>
                <w:rFonts w:hint="eastAsia" w:ascii="Times New Roman" w:hAnsi="Times New Roman" w:eastAsia="仿宋_GB2312" w:cs="Times New Roman"/>
                <w:color w:val="000000" w:themeColor="text1"/>
                <w:kern w:val="2"/>
                <w:lang w:eastAsia="zh-CN"/>
                <w14:textFill>
                  <w14:solidFill>
                    <w14:schemeClr w14:val="tx1"/>
                  </w14:solidFill>
                </w14:textFill>
              </w:rPr>
              <w:t>https://swjjxy.sbs.edu.cn/</w:t>
            </w:r>
          </w:p>
        </w:tc>
      </w:tr>
    </w:tbl>
    <w:p w14:paraId="0608B03D">
      <w:pPr>
        <w:spacing w:line="360" w:lineRule="auto"/>
        <w:ind w:firstLine="320" w:firstLineChars="100"/>
        <w:jc w:val="left"/>
        <w:rPr>
          <w:rFonts w:ascii="方正小标宋_GBK" w:hAnsi="华文中宋" w:eastAsia="方正小标宋_GBK"/>
          <w:sz w:val="36"/>
        </w:rPr>
      </w:pPr>
      <w:r>
        <w:rPr>
          <w:rFonts w:hint="eastAsia" w:ascii="仿宋_GB2312" w:eastAsia="仿宋_GB2312"/>
          <w:color w:val="000000" w:themeColor="text1"/>
          <w:sz w:val="32"/>
          <w:szCs w:val="32"/>
          <w14:textFill>
            <w14:solidFill>
              <w14:schemeClr w14:val="tx1"/>
            </w14:solidFill>
          </w14:textFill>
        </w:rPr>
        <w:t>附件：《诚信复试承诺书》</w:t>
      </w:r>
    </w:p>
    <w:p w14:paraId="28E8258F">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上海商学院2026年硕士研究生招生考生诚信复试承诺书</w:t>
      </w:r>
      <w:bookmarkEnd w:id="1"/>
    </w:p>
    <w:p w14:paraId="6CF5AD19">
      <w:pPr>
        <w:spacing w:line="360" w:lineRule="auto"/>
      </w:pPr>
    </w:p>
    <w:p w14:paraId="27FE833B">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我是参加上海商学院2026年硕士研究生招生复试考核的考生。</w:t>
      </w:r>
    </w:p>
    <w:p w14:paraId="69FD3EAE">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335A87A8">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331307D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二、我已认真阅读《上海商学院2026年硕士研究生招生复试考场规则》和学院复试工作细则等文件，知悉并将严格遵守其中对考生的要求。</w:t>
      </w:r>
    </w:p>
    <w:p w14:paraId="7C203B03">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7B84CA9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305DD1DC">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A48C342">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747788C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28C61C6C">
      <w:pPr>
        <w:spacing w:line="360" w:lineRule="auto"/>
      </w:pPr>
    </w:p>
    <w:p w14:paraId="533D19A6">
      <w:pPr>
        <w:spacing w:line="360" w:lineRule="auto"/>
      </w:pPr>
    </w:p>
    <w:p w14:paraId="6A0DDAE8">
      <w:pPr>
        <w:spacing w:line="360" w:lineRule="auto"/>
      </w:pPr>
    </w:p>
    <w:p w14:paraId="3093DBCF">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 xml:space="preserve">日期：2026年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70E626CE"/>
    <w:p w14:paraId="599F9C8B">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4670C0C6">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FFD6A52">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1A6ADAE3">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2AF58EC7">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794D2752">
      <w:pPr>
        <w:pStyle w:val="3"/>
        <w:snapToGrid w:val="0"/>
        <w:spacing w:before="0" w:line="360" w:lineRule="auto"/>
        <w:ind w:right="117" w:firstLine="1929" w:firstLineChars="603"/>
        <w:jc w:val="right"/>
        <w:rPr>
          <w:rFonts w:ascii="Times New Roman" w:hAnsi="Times New Roman" w:eastAsia="仿宋_GB2312" w:cs="Times New Roman"/>
          <w:color w:val="000000" w:themeColor="text1"/>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446841"/>
    </w:sdtPr>
    <w:sdtContent>
      <w:p w14:paraId="4F79CC91">
        <w:pPr>
          <w:pStyle w:val="4"/>
          <w:jc w:val="center"/>
        </w:pPr>
        <w:r>
          <w:fldChar w:fldCharType="begin"/>
        </w:r>
        <w:r>
          <w:instrText xml:space="preserve">PAGE   \* MERGEFORMAT</w:instrText>
        </w:r>
        <w:r>
          <w:fldChar w:fldCharType="separate"/>
        </w:r>
        <w:r>
          <w:rPr>
            <w:lang w:val="zh-CN"/>
          </w:rPr>
          <w:t>2</w:t>
        </w:r>
        <w:r>
          <w:fldChar w:fldCharType="end"/>
        </w:r>
      </w:p>
    </w:sdtContent>
  </w:sdt>
  <w:p w14:paraId="0EA9B0E5">
    <w:pPr>
      <w:pStyle w:val="4"/>
    </w:pPr>
  </w:p>
  <w:p w14:paraId="023CB16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5CB8E"/>
    <w:multiLevelType w:val="singleLevel"/>
    <w:tmpl w:val="3515CB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TRhZmIwYzNlNTA5MzY4NGE0ZTVmOTNhMTE1MmEifQ=="/>
  </w:docVars>
  <w:rsids>
    <w:rsidRoot w:val="007859C9"/>
    <w:rsid w:val="00051915"/>
    <w:rsid w:val="000A7055"/>
    <w:rsid w:val="000B7EB8"/>
    <w:rsid w:val="000F534A"/>
    <w:rsid w:val="00106046"/>
    <w:rsid w:val="001363F4"/>
    <w:rsid w:val="001714C9"/>
    <w:rsid w:val="00183797"/>
    <w:rsid w:val="001C6C51"/>
    <w:rsid w:val="001F0339"/>
    <w:rsid w:val="002700C7"/>
    <w:rsid w:val="002A6D9A"/>
    <w:rsid w:val="00313467"/>
    <w:rsid w:val="00313B17"/>
    <w:rsid w:val="00387977"/>
    <w:rsid w:val="003C6358"/>
    <w:rsid w:val="003D2767"/>
    <w:rsid w:val="003F6789"/>
    <w:rsid w:val="004015E2"/>
    <w:rsid w:val="004440B7"/>
    <w:rsid w:val="00454352"/>
    <w:rsid w:val="00481F4C"/>
    <w:rsid w:val="004C58BE"/>
    <w:rsid w:val="004D7F7A"/>
    <w:rsid w:val="004F098D"/>
    <w:rsid w:val="0059035D"/>
    <w:rsid w:val="005D08B6"/>
    <w:rsid w:val="005E2EC0"/>
    <w:rsid w:val="005F2358"/>
    <w:rsid w:val="00613869"/>
    <w:rsid w:val="00656133"/>
    <w:rsid w:val="006653DA"/>
    <w:rsid w:val="006916D4"/>
    <w:rsid w:val="00697C90"/>
    <w:rsid w:val="007455DA"/>
    <w:rsid w:val="00775632"/>
    <w:rsid w:val="007859C9"/>
    <w:rsid w:val="00795E59"/>
    <w:rsid w:val="007A55EF"/>
    <w:rsid w:val="007C3721"/>
    <w:rsid w:val="008124CE"/>
    <w:rsid w:val="0083521E"/>
    <w:rsid w:val="00837AD3"/>
    <w:rsid w:val="00887115"/>
    <w:rsid w:val="0089421B"/>
    <w:rsid w:val="008C62E8"/>
    <w:rsid w:val="008D480C"/>
    <w:rsid w:val="008F396F"/>
    <w:rsid w:val="00907066"/>
    <w:rsid w:val="009667B5"/>
    <w:rsid w:val="009A5233"/>
    <w:rsid w:val="00A72EEB"/>
    <w:rsid w:val="00A916A5"/>
    <w:rsid w:val="00A956FF"/>
    <w:rsid w:val="00AC6022"/>
    <w:rsid w:val="00AE2F8E"/>
    <w:rsid w:val="00AF4ADC"/>
    <w:rsid w:val="00B260DF"/>
    <w:rsid w:val="00B458AE"/>
    <w:rsid w:val="00B80B22"/>
    <w:rsid w:val="00BC2EE7"/>
    <w:rsid w:val="00C1518C"/>
    <w:rsid w:val="00C409AA"/>
    <w:rsid w:val="00C80A4F"/>
    <w:rsid w:val="00CA61BB"/>
    <w:rsid w:val="00CC7A72"/>
    <w:rsid w:val="00D22B6E"/>
    <w:rsid w:val="00D36C79"/>
    <w:rsid w:val="00D6397E"/>
    <w:rsid w:val="00D97B6B"/>
    <w:rsid w:val="00D97F98"/>
    <w:rsid w:val="00DC71DA"/>
    <w:rsid w:val="00E117E4"/>
    <w:rsid w:val="00E40779"/>
    <w:rsid w:val="00E51D8C"/>
    <w:rsid w:val="00E54E39"/>
    <w:rsid w:val="00E76116"/>
    <w:rsid w:val="00E90308"/>
    <w:rsid w:val="00EA6FFA"/>
    <w:rsid w:val="00EB1F21"/>
    <w:rsid w:val="00ED67CB"/>
    <w:rsid w:val="00ED7D10"/>
    <w:rsid w:val="00FD0234"/>
    <w:rsid w:val="00FE1E91"/>
    <w:rsid w:val="010359EC"/>
    <w:rsid w:val="014162BE"/>
    <w:rsid w:val="014632E9"/>
    <w:rsid w:val="0174183F"/>
    <w:rsid w:val="024C0C9D"/>
    <w:rsid w:val="02CB792E"/>
    <w:rsid w:val="050C105C"/>
    <w:rsid w:val="059B24B4"/>
    <w:rsid w:val="065322C4"/>
    <w:rsid w:val="0673610D"/>
    <w:rsid w:val="081D1247"/>
    <w:rsid w:val="0963712E"/>
    <w:rsid w:val="0A9C1167"/>
    <w:rsid w:val="0B275F39"/>
    <w:rsid w:val="0C436DA2"/>
    <w:rsid w:val="0C631A19"/>
    <w:rsid w:val="0D091D9A"/>
    <w:rsid w:val="0EC00B7E"/>
    <w:rsid w:val="10785DDD"/>
    <w:rsid w:val="118150C7"/>
    <w:rsid w:val="14E1232E"/>
    <w:rsid w:val="15FA27BA"/>
    <w:rsid w:val="167069E6"/>
    <w:rsid w:val="17343EB7"/>
    <w:rsid w:val="174A7237"/>
    <w:rsid w:val="175C1481"/>
    <w:rsid w:val="176A78D9"/>
    <w:rsid w:val="17792097"/>
    <w:rsid w:val="18AB01A9"/>
    <w:rsid w:val="18C528D3"/>
    <w:rsid w:val="19502AFF"/>
    <w:rsid w:val="1A650571"/>
    <w:rsid w:val="1B246DC0"/>
    <w:rsid w:val="1BE17E65"/>
    <w:rsid w:val="1CD95D9E"/>
    <w:rsid w:val="1E1D38F7"/>
    <w:rsid w:val="1E2D4852"/>
    <w:rsid w:val="1E2E78B2"/>
    <w:rsid w:val="1E2F362A"/>
    <w:rsid w:val="1E42510C"/>
    <w:rsid w:val="1F4924CA"/>
    <w:rsid w:val="1F501880"/>
    <w:rsid w:val="1F751511"/>
    <w:rsid w:val="1F7A08D5"/>
    <w:rsid w:val="1FC85AE5"/>
    <w:rsid w:val="1FF916BA"/>
    <w:rsid w:val="20F85F56"/>
    <w:rsid w:val="21521B0A"/>
    <w:rsid w:val="21CE6CB6"/>
    <w:rsid w:val="220F17A9"/>
    <w:rsid w:val="229E0D7F"/>
    <w:rsid w:val="22AE0FC2"/>
    <w:rsid w:val="23057491"/>
    <w:rsid w:val="23BA5744"/>
    <w:rsid w:val="243512C2"/>
    <w:rsid w:val="24A7154A"/>
    <w:rsid w:val="255469AB"/>
    <w:rsid w:val="2640642C"/>
    <w:rsid w:val="26814A95"/>
    <w:rsid w:val="282B4E63"/>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9B5458C"/>
    <w:rsid w:val="39DA2245"/>
    <w:rsid w:val="3BFE0815"/>
    <w:rsid w:val="3C5067EE"/>
    <w:rsid w:val="3C6F0ED4"/>
    <w:rsid w:val="3D68730D"/>
    <w:rsid w:val="3DEA67CE"/>
    <w:rsid w:val="3DEF3768"/>
    <w:rsid w:val="3EE00F3F"/>
    <w:rsid w:val="40F77B80"/>
    <w:rsid w:val="4124436F"/>
    <w:rsid w:val="44184095"/>
    <w:rsid w:val="44C935E1"/>
    <w:rsid w:val="4574179F"/>
    <w:rsid w:val="459E4A6E"/>
    <w:rsid w:val="463B050F"/>
    <w:rsid w:val="473867FC"/>
    <w:rsid w:val="49044BE8"/>
    <w:rsid w:val="491A440C"/>
    <w:rsid w:val="49995C33"/>
    <w:rsid w:val="49F11610"/>
    <w:rsid w:val="4A363423"/>
    <w:rsid w:val="4BBE3774"/>
    <w:rsid w:val="4E3C4E24"/>
    <w:rsid w:val="4E886911"/>
    <w:rsid w:val="4EFA0862"/>
    <w:rsid w:val="516E1798"/>
    <w:rsid w:val="517D3696"/>
    <w:rsid w:val="52362075"/>
    <w:rsid w:val="52A80CDA"/>
    <w:rsid w:val="53AC65A8"/>
    <w:rsid w:val="54191421"/>
    <w:rsid w:val="5621502B"/>
    <w:rsid w:val="575A3DD1"/>
    <w:rsid w:val="57F347A6"/>
    <w:rsid w:val="58DF7D47"/>
    <w:rsid w:val="595D2119"/>
    <w:rsid w:val="596E2BB8"/>
    <w:rsid w:val="59E7658C"/>
    <w:rsid w:val="5B9A6FA0"/>
    <w:rsid w:val="5C6C2D78"/>
    <w:rsid w:val="5D137698"/>
    <w:rsid w:val="5D5C557E"/>
    <w:rsid w:val="5D601BA6"/>
    <w:rsid w:val="5DD1521D"/>
    <w:rsid w:val="5DFB2606"/>
    <w:rsid w:val="5DFF18C5"/>
    <w:rsid w:val="5E2F0501"/>
    <w:rsid w:val="5E457D25"/>
    <w:rsid w:val="61D75138"/>
    <w:rsid w:val="62B3775B"/>
    <w:rsid w:val="63EB4ECB"/>
    <w:rsid w:val="65046244"/>
    <w:rsid w:val="67116CE5"/>
    <w:rsid w:val="6716400D"/>
    <w:rsid w:val="672F1572"/>
    <w:rsid w:val="68540365"/>
    <w:rsid w:val="68965FEA"/>
    <w:rsid w:val="689A3AC8"/>
    <w:rsid w:val="68B852C3"/>
    <w:rsid w:val="68E56825"/>
    <w:rsid w:val="69194288"/>
    <w:rsid w:val="6AB778B5"/>
    <w:rsid w:val="6B413622"/>
    <w:rsid w:val="6B8A35E4"/>
    <w:rsid w:val="6CBF6EF4"/>
    <w:rsid w:val="6D312227"/>
    <w:rsid w:val="6E11552E"/>
    <w:rsid w:val="6E9A1205"/>
    <w:rsid w:val="6EAE2804"/>
    <w:rsid w:val="6FD70AEF"/>
    <w:rsid w:val="6FDE3B35"/>
    <w:rsid w:val="715C2544"/>
    <w:rsid w:val="729A1F96"/>
    <w:rsid w:val="72BD3ED6"/>
    <w:rsid w:val="72DF5BFA"/>
    <w:rsid w:val="77433A7A"/>
    <w:rsid w:val="780B1CC3"/>
    <w:rsid w:val="784944C7"/>
    <w:rsid w:val="79FA5A10"/>
    <w:rsid w:val="7B9559F0"/>
    <w:rsid w:val="7BC74659"/>
    <w:rsid w:val="7CE86C9A"/>
    <w:rsid w:val="7DE62533"/>
    <w:rsid w:val="7E92110A"/>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3"/>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脚 字符"/>
    <w:basedOn w:val="9"/>
    <w:link w:val="4"/>
    <w:autoRedefine/>
    <w:qFormat/>
    <w:uiPriority w:val="99"/>
    <w:rPr>
      <w:sz w:val="18"/>
      <w:szCs w:val="18"/>
    </w:rPr>
  </w:style>
  <w:style w:type="character" w:customStyle="1" w:styleId="13">
    <w:name w:val="正文文本 字符"/>
    <w:basedOn w:val="9"/>
    <w:link w:val="3"/>
    <w:autoRedefine/>
    <w:qFormat/>
    <w:uiPriority w:val="1"/>
    <w:rPr>
      <w:rFonts w:ascii="宋体" w:hAnsi="宋体" w:eastAsia="宋体" w:cs="宋体"/>
      <w:kern w:val="0"/>
      <w:sz w:val="32"/>
      <w:szCs w:val="32"/>
      <w:lang w:eastAsia="en-US"/>
    </w:rPr>
  </w:style>
  <w:style w:type="character" w:customStyle="1" w:styleId="14">
    <w:name w:val="页眉 字符"/>
    <w:basedOn w:val="9"/>
    <w:link w:val="5"/>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paragraph" w:customStyle="1" w:styleId="16">
    <w:name w:val="71e7dc79-1ff7-45e8-997d-0ebda3762b91"/>
    <w:basedOn w:val="2"/>
    <w:next w:val="17"/>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17">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C5E5-50F6-4EF2-BFE7-66B5D3498FA3}">
  <ds:schemaRefs/>
</ds:datastoreItem>
</file>

<file path=docProps/app.xml><?xml version="1.0" encoding="utf-8"?>
<Properties xmlns="http://schemas.openxmlformats.org/officeDocument/2006/extended-properties" xmlns:vt="http://schemas.openxmlformats.org/officeDocument/2006/docPropsVTypes">
  <Template>Normal</Template>
  <Pages>9</Pages>
  <Words>3395</Words>
  <Characters>3642</Characters>
  <Lines>27</Lines>
  <Paragraphs>7</Paragraphs>
  <TotalTime>5</TotalTime>
  <ScaleCrop>false</ScaleCrop>
  <LinksUpToDate>false</LinksUpToDate>
  <CharactersWithSpaces>3715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2023-03-26T03:41:00Z</dcterms:created>
  <dc:creator>dell</dc:creator>
  <cp:lastModifiedBy>于小爪儿</cp:lastModifiedBy>
  <cp:lastPrinted>2025-03-18T06:27:00Z</cp:lastPrinted>
  <dcterms:modified xsi:type="dcterms:W3CDTF">2026-03-24T00:42:58Z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801AFE143A3349F290D9242C2BCF4FAF_13</vt:lpwstr>
  </property>
  <property fmtid="{D5CDD505-2E9C-101B-9397-08002B2CF9AE}" pid="4" name="KSOTemplateDocerSaveRecord">
    <vt:lpwstr>eyJoZGlkIjoiYzAzZmNlYmMyNGJjM2E5YzJlYWM3ZWI2ZDdjYzgzOGUiLCJ1c2VySWQiOiI2NjU2Nzg4NjgifQ==</vt:lpwstr>
  </property>
</Properties>
</file>